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acBuGuideStaticData_10602H" w:displacedByCustomXml="next"/>
    <w:bookmarkStart w:id="1" w:name="_MacBuGuideStaticData_3130H" w:displacedByCustomXml="next"/>
    <w:bookmarkStart w:id="2" w:name="_MacBuGuideStaticData_543H" w:displacedByCustomXml="next"/>
    <w:bookmarkStart w:id="3" w:name="_MacBuGuideStaticData_2275V" w:displacedByCustomXml="next"/>
    <w:sdt>
      <w:sdtPr>
        <w:id w:val="-322893735"/>
        <w:docPartObj>
          <w:docPartGallery w:val="Cover Pages"/>
          <w:docPartUnique/>
        </w:docPartObj>
      </w:sdtPr>
      <w:sdtEndPr>
        <w:rPr>
          <w:i/>
        </w:rPr>
      </w:sdtEndPr>
      <w:sdtContent>
        <w:p w:rsidR="00137788" w:rsidRDefault="00137788"/>
        <w:p w:rsidR="00137788" w:rsidRDefault="00137788"/>
        <w:tbl>
          <w:tblPr>
            <w:tblpPr w:leftFromText="187" w:rightFromText="187" w:horzAnchor="margin" w:tblpXSpec="center" w:tblpYSpec="bottom"/>
            <w:tblW w:w="4000" w:type="pct"/>
            <w:tblLook w:val="04A0" w:firstRow="1" w:lastRow="0" w:firstColumn="1" w:lastColumn="0" w:noHBand="0" w:noVBand="1"/>
          </w:tblPr>
          <w:tblGrid>
            <w:gridCol w:w="7554"/>
          </w:tblGrid>
          <w:tr w:rsidR="00137788">
            <w:tc>
              <w:tcPr>
                <w:tcW w:w="7672" w:type="dxa"/>
                <w:tcMar>
                  <w:top w:w="216" w:type="dxa"/>
                  <w:left w:w="115" w:type="dxa"/>
                  <w:bottom w:w="216" w:type="dxa"/>
                  <w:right w:w="115" w:type="dxa"/>
                </w:tcMar>
              </w:tcPr>
              <w:p w:rsidR="00137788" w:rsidRDefault="00137788" w:rsidP="00137788">
                <w:pPr>
                  <w:pStyle w:val="NoSpacing"/>
                  <w:rPr>
                    <w:color w:val="0072C6" w:themeColor="accent1"/>
                  </w:rPr>
                </w:pPr>
              </w:p>
            </w:tc>
          </w:tr>
        </w:tbl>
        <w:p w:rsidR="00137788" w:rsidRDefault="00137788"/>
        <w:p w:rsidR="00DD6E4F" w:rsidRDefault="00137788" w:rsidP="00BF4DE0">
          <w:pPr>
            <w:rPr>
              <w:i/>
              <w:noProof/>
              <w:lang w:eastAsia="en-GB"/>
            </w:rPr>
          </w:pPr>
          <w:r w:rsidRPr="00DD6E4F">
            <w:rPr>
              <w:i/>
              <w:noProof/>
              <w:lang w:eastAsia="en-GB"/>
            </w:rPr>
            <w:drawing>
              <wp:anchor distT="0" distB="0" distL="114300" distR="114300" simplePos="0" relativeHeight="251706880" behindDoc="0" locked="0" layoutInCell="1" allowOverlap="1" wp14:anchorId="0FF6629C" wp14:editId="7A31AEBE">
                <wp:simplePos x="0" y="0"/>
                <wp:positionH relativeFrom="page">
                  <wp:posOffset>5942965</wp:posOffset>
                </wp:positionH>
                <wp:positionV relativeFrom="page">
                  <wp:posOffset>506095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240"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r>
            <w:rPr>
              <w:i/>
            </w:rPr>
            <w:t xml:space="preserve"> </w:t>
          </w:r>
          <w:r w:rsidRPr="00DD6E4F">
            <w:rPr>
              <w:i/>
              <w:noProof/>
              <w:lang w:eastAsia="en-GB"/>
            </w:rPr>
            <mc:AlternateContent>
              <mc:Choice Requires="wps">
                <w:drawing>
                  <wp:anchor distT="0" distB="0" distL="114300" distR="114300" simplePos="0" relativeHeight="251708928" behindDoc="0" locked="0" layoutInCell="1" allowOverlap="1" wp14:anchorId="5F09B871" wp14:editId="12F5A5D7">
                    <wp:simplePos x="0" y="0"/>
                    <wp:positionH relativeFrom="page">
                      <wp:posOffset>779780</wp:posOffset>
                    </wp:positionH>
                    <wp:positionV relativeFrom="page">
                      <wp:posOffset>5459095</wp:posOffset>
                    </wp:positionV>
                    <wp:extent cx="5608320" cy="2070847"/>
                    <wp:effectExtent l="0" t="0" r="0" b="5715"/>
                    <wp:wrapThrough wrapText="bothSides">
                      <wp:wrapPolygon edited="0">
                        <wp:start x="147" y="0"/>
                        <wp:lineTo x="147" y="21461"/>
                        <wp:lineTo x="21351" y="21461"/>
                        <wp:lineTo x="21351" y="0"/>
                        <wp:lineTo x="147"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2070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25C" w:rsidRDefault="0098525C" w:rsidP="00137788">
                                <w:pPr>
                                  <w:pStyle w:val="Title"/>
                                </w:pPr>
                                <w:r>
                                  <w:t xml:space="preserve">Serious Incident Framework </w:t>
                                </w:r>
                              </w:p>
                              <w:p w:rsidR="0098525C" w:rsidRPr="000A74CD" w:rsidRDefault="0098525C" w:rsidP="00137788"/>
                              <w:p w:rsidR="0098525C" w:rsidRPr="000A74CD" w:rsidRDefault="0098525C" w:rsidP="00137788">
                                <w:pPr>
                                  <w:rPr>
                                    <w:sz w:val="44"/>
                                  </w:rPr>
                                </w:pPr>
                                <w:r w:rsidRPr="000A74CD">
                                  <w:rPr>
                                    <w:sz w:val="44"/>
                                  </w:rPr>
                                  <w:t>Supporting learning to prevent recurrence</w:t>
                                </w:r>
                              </w:p>
                              <w:p w:rsidR="0098525C" w:rsidRDefault="0098525C" w:rsidP="00137788"/>
                              <w:p w:rsidR="0098525C" w:rsidRPr="000A74CD" w:rsidRDefault="0098525C" w:rsidP="001377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4pt;margin-top:429.85pt;width:441.6pt;height:163.0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skpgIAAK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" filled="f" stroked="f">
                    <v:path arrowok="t"/>
                    <v:textbox>
                      <w:txbxContent>
                        <w:p w:rsidR="0098525C" w:rsidRDefault="0098525C" w:rsidP="00137788">
                          <w:pPr>
                            <w:pStyle w:val="Title"/>
                          </w:pPr>
                          <w:r>
                            <w:t xml:space="preserve">Serious Incident Framework </w:t>
                          </w:r>
                        </w:p>
                        <w:p w:rsidR="0098525C" w:rsidRPr="000A74CD" w:rsidRDefault="0098525C" w:rsidP="00137788"/>
                        <w:p w:rsidR="0098525C" w:rsidRPr="000A74CD" w:rsidRDefault="0098525C" w:rsidP="00137788">
                          <w:pPr>
                            <w:rPr>
                              <w:sz w:val="44"/>
                            </w:rPr>
                          </w:pPr>
                          <w:r w:rsidRPr="000A74CD">
                            <w:rPr>
                              <w:sz w:val="44"/>
                            </w:rPr>
                            <w:t>Supporting learning to prevent recurrence</w:t>
                          </w:r>
                        </w:p>
                        <w:p w:rsidR="0098525C" w:rsidRDefault="0098525C" w:rsidP="00137788"/>
                        <w:p w:rsidR="0098525C" w:rsidRPr="000A74CD" w:rsidRDefault="0098525C" w:rsidP="00137788"/>
                      </w:txbxContent>
                    </v:textbox>
                    <w10:wrap type="through" anchorx="page" anchory="page"/>
                  </v:shape>
                </w:pict>
              </mc:Fallback>
            </mc:AlternateContent>
          </w:r>
          <w:r>
            <w:rPr>
              <w:i/>
            </w:rPr>
            <w:t xml:space="preserve"> </w:t>
          </w:r>
          <w:r w:rsidRPr="00DD6E4F">
            <w:rPr>
              <w:i/>
              <w:noProof/>
              <w:lang w:eastAsia="en-GB"/>
            </w:rPr>
            <mc:AlternateContent>
              <mc:Choice Requires="wps">
                <w:drawing>
                  <wp:anchor distT="0" distB="0" distL="114300" distR="114300" simplePos="0" relativeHeight="251710976" behindDoc="0" locked="0" layoutInCell="1" allowOverlap="1" wp14:anchorId="74E7D3F6" wp14:editId="7CBB80AB">
                    <wp:simplePos x="0" y="0"/>
                    <wp:positionH relativeFrom="page">
                      <wp:posOffset>779780</wp:posOffset>
                    </wp:positionH>
                    <wp:positionV relativeFrom="page">
                      <wp:posOffset>5459095</wp:posOffset>
                    </wp:positionV>
                    <wp:extent cx="5608320" cy="2070847"/>
                    <wp:effectExtent l="0" t="0" r="0" b="5715"/>
                    <wp:wrapThrough wrapText="bothSides">
                      <wp:wrapPolygon edited="0">
                        <wp:start x="147" y="0"/>
                        <wp:lineTo x="147" y="21461"/>
                        <wp:lineTo x="21351" y="21461"/>
                        <wp:lineTo x="21351" y="0"/>
                        <wp:lineTo x="147" y="0"/>
                      </wp:wrapPolygon>
                    </wp:wrapThrough>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2070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25C" w:rsidRDefault="0098525C" w:rsidP="00137788">
                                <w:pPr>
                                  <w:pStyle w:val="Title"/>
                                </w:pPr>
                                <w:r>
                                  <w:t xml:space="preserve">Serious Incident Framework </w:t>
                                </w:r>
                              </w:p>
                              <w:p w:rsidR="0098525C" w:rsidRPr="000A74CD" w:rsidRDefault="0098525C" w:rsidP="00137788"/>
                              <w:p w:rsidR="0098525C" w:rsidRPr="000A74CD" w:rsidRDefault="0098525C" w:rsidP="00137788">
                                <w:pPr>
                                  <w:rPr>
                                    <w:sz w:val="44"/>
                                  </w:rPr>
                                </w:pPr>
                                <w:r w:rsidRPr="000A74CD">
                                  <w:rPr>
                                    <w:sz w:val="44"/>
                                  </w:rPr>
                                  <w:t>Supporting learning to prevent recurrence</w:t>
                                </w:r>
                              </w:p>
                              <w:p w:rsidR="0098525C" w:rsidRDefault="0098525C" w:rsidP="00137788"/>
                              <w:p w:rsidR="0098525C" w:rsidRPr="000A74CD" w:rsidRDefault="0098525C" w:rsidP="001377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1.4pt;margin-top:429.85pt;width:441.6pt;height:163.0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" filled="f" stroked="f">
                    <v:path arrowok="t"/>
                    <v:textbox>
                      <w:txbxContent>
                        <w:p w:rsidR="0098525C" w:rsidRDefault="0098525C" w:rsidP="00137788">
                          <w:pPr>
                            <w:pStyle w:val="Title"/>
                          </w:pPr>
                          <w:r>
                            <w:t xml:space="preserve">Serious Incident Framework </w:t>
                          </w:r>
                        </w:p>
                        <w:p w:rsidR="0098525C" w:rsidRPr="000A74CD" w:rsidRDefault="0098525C" w:rsidP="00137788"/>
                        <w:p w:rsidR="0098525C" w:rsidRPr="000A74CD" w:rsidRDefault="0098525C" w:rsidP="00137788">
                          <w:pPr>
                            <w:rPr>
                              <w:sz w:val="44"/>
                            </w:rPr>
                          </w:pPr>
                          <w:r w:rsidRPr="000A74CD">
                            <w:rPr>
                              <w:sz w:val="44"/>
                            </w:rPr>
                            <w:t>Supporting learning to prevent recurrence</w:t>
                          </w:r>
                        </w:p>
                        <w:p w:rsidR="0098525C" w:rsidRDefault="0098525C" w:rsidP="00137788"/>
                        <w:p w:rsidR="0098525C" w:rsidRPr="000A74CD" w:rsidRDefault="0098525C" w:rsidP="00137788"/>
                      </w:txbxContent>
                    </v:textbox>
                    <w10:wrap type="through" anchorx="page" anchory="page"/>
                  </v:shape>
                </w:pict>
              </mc:Fallback>
            </mc:AlternateContent>
          </w:r>
          <w:r>
            <w:rPr>
              <w:i/>
            </w:rPr>
            <w:t xml:space="preserve"> </w:t>
          </w:r>
        </w:p>
      </w:sdtContent>
    </w:sdt>
    <w:p w:rsidR="00695D70" w:rsidRDefault="00656382" w:rsidP="00BF4DE0">
      <w:pPr>
        <w:rPr>
          <w:i/>
        </w:rPr>
      </w:pPr>
      <w:bookmarkStart w:id="4" w:name="_MacBuGuideStaticData_10810H"/>
      <w:bookmarkStart w:id="5" w:name="_MacBuGuideStaticData_3861H"/>
      <w:bookmarkEnd w:id="3"/>
      <w:bookmarkEnd w:id="2"/>
      <w:bookmarkEnd w:id="1"/>
      <w:bookmarkEnd w:id="0"/>
      <w:r w:rsidRPr="0017319A">
        <w:rPr>
          <w:noProof/>
          <w:lang w:eastAsia="en-GB"/>
        </w:rPr>
        <w:lastRenderedPageBreak/>
        <w:drawing>
          <wp:inline distT="0" distB="0" distL="0" distR="0" wp14:anchorId="40442D83" wp14:editId="1292CB24">
            <wp:extent cx="5456471" cy="893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8027" cy="8936998"/>
                    </a:xfrm>
                    <a:prstGeom prst="rect">
                      <a:avLst/>
                    </a:prstGeom>
                    <a:noFill/>
                    <a:ln>
                      <a:noFill/>
                    </a:ln>
                  </pic:spPr>
                </pic:pic>
              </a:graphicData>
            </a:graphic>
          </wp:inline>
        </w:drawing>
      </w:r>
    </w:p>
    <w:p w:rsidR="00695D70" w:rsidRDefault="00695D70" w:rsidP="00BF4DE0">
      <w:pPr>
        <w:rPr>
          <w:i/>
        </w:rPr>
      </w:pPr>
    </w:p>
    <w:p w:rsidR="00BF4DE0" w:rsidRPr="00AD18FA" w:rsidRDefault="001B2071" w:rsidP="00E52ACB">
      <w:pPr>
        <w:rPr>
          <w:b/>
          <w:sz w:val="32"/>
          <w:szCs w:val="32"/>
        </w:rPr>
      </w:pPr>
      <w:r>
        <w:rPr>
          <w:b/>
          <w:sz w:val="32"/>
          <w:szCs w:val="32"/>
        </w:rPr>
        <w:t xml:space="preserve">Serious Incident </w:t>
      </w:r>
      <w:r w:rsidR="005A7486">
        <w:rPr>
          <w:b/>
          <w:sz w:val="32"/>
          <w:szCs w:val="32"/>
        </w:rPr>
        <w:t>Framework</w:t>
      </w:r>
    </w:p>
    <w:p w:rsidR="00BF4DE0" w:rsidRPr="00AD18FA" w:rsidRDefault="00BF4DE0" w:rsidP="00821E02"/>
    <w:p w:rsidR="00BF4DE0" w:rsidRDefault="00BF4DE0" w:rsidP="00BF4DE0"/>
    <w:p w:rsidR="00AD18FA" w:rsidRDefault="00AD18FA" w:rsidP="00E72C89"/>
    <w:p w:rsidR="00023944" w:rsidRDefault="00023944" w:rsidP="00E72C89">
      <w:r>
        <w:t>First published:</w:t>
      </w:r>
      <w:r w:rsidR="001B2071">
        <w:t xml:space="preserve"> 2010</w:t>
      </w:r>
    </w:p>
    <w:p w:rsidR="00023944" w:rsidRDefault="00023944" w:rsidP="00E72C89"/>
    <w:p w:rsidR="00023944" w:rsidRDefault="001B2071" w:rsidP="00E72C89">
      <w:r>
        <w:t xml:space="preserve">Updated: </w:t>
      </w:r>
      <w:r w:rsidR="007B3224">
        <w:t xml:space="preserve">March </w:t>
      </w:r>
      <w:r w:rsidR="004D7ABD">
        <w:t>2015</w:t>
      </w:r>
    </w:p>
    <w:p w:rsidR="00023944" w:rsidRDefault="00023944" w:rsidP="00E72C89"/>
    <w:p w:rsidR="00023944" w:rsidRDefault="00023944" w:rsidP="00E72C89">
      <w:r>
        <w:t>Prepared by:</w:t>
      </w:r>
      <w:r w:rsidR="001B2071">
        <w:t xml:space="preserve"> NHS England, Patient Safety Domain</w:t>
      </w:r>
    </w:p>
    <w:p w:rsidR="00F623F3" w:rsidRDefault="00F623F3" w:rsidP="00656382"/>
    <w:p w:rsidR="00996AB8" w:rsidRDefault="00996AB8" w:rsidP="00CA78CE">
      <w:pPr>
        <w:pStyle w:val="Heading1"/>
      </w:pPr>
    </w:p>
    <w:p w:rsidR="00996AB8" w:rsidRDefault="00996AB8" w:rsidP="00CA78CE">
      <w:pPr>
        <w:pStyle w:val="Heading1"/>
      </w:pPr>
    </w:p>
    <w:p w:rsidR="00CA78CE" w:rsidRDefault="00F623F3" w:rsidP="00CA78CE">
      <w:pPr>
        <w:pStyle w:val="Heading1"/>
      </w:pPr>
      <w:r>
        <w:br w:type="page"/>
      </w:r>
    </w:p>
    <w:bookmarkStart w:id="6" w:name="_Toc414568019" w:displacedByCustomXml="next"/>
    <w:sdt>
      <w:sdtPr>
        <w:rPr>
          <w:rFonts w:cs="Times New Roman"/>
          <w:b w:val="0"/>
          <w:color w:val="auto"/>
          <w:kern w:val="0"/>
          <w:sz w:val="24"/>
          <w:szCs w:val="26"/>
        </w:rPr>
        <w:id w:val="1125507802"/>
        <w:docPartObj>
          <w:docPartGallery w:val="Table of Contents"/>
          <w:docPartUnique/>
        </w:docPartObj>
      </w:sdtPr>
      <w:sdtEndPr>
        <w:rPr>
          <w:noProof/>
        </w:rPr>
      </w:sdtEndPr>
      <w:sdtContent>
        <w:p w:rsidR="00237034" w:rsidRDefault="00237034" w:rsidP="00137E8D">
          <w:pPr>
            <w:pStyle w:val="Heading1"/>
          </w:pPr>
          <w:r>
            <w:t>Contents</w:t>
          </w:r>
          <w:bookmarkEnd w:id="6"/>
        </w:p>
        <w:p w:rsidR="0072371B" w:rsidRDefault="0072371B">
          <w:pPr>
            <w:pStyle w:val="TOC1"/>
          </w:pPr>
          <w:r>
            <w:t>Foreword from Dr M</w:t>
          </w:r>
          <w:bookmarkStart w:id="7" w:name="_GoBack"/>
          <w:bookmarkEnd w:id="7"/>
          <w:r>
            <w:t>ike Durkin……………………………………………………………...5</w:t>
          </w:r>
        </w:p>
        <w:p w:rsidR="009C1A45" w:rsidRDefault="00237034">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414568020" w:history="1">
            <w:r w:rsidR="009C1A45" w:rsidRPr="009F7D92">
              <w:rPr>
                <w:rStyle w:val="Hyperlink"/>
                <w:noProof/>
              </w:rPr>
              <w:t>Se</w:t>
            </w:r>
            <w:r w:rsidR="0072371B">
              <w:rPr>
                <w:rStyle w:val="Hyperlink"/>
                <w:noProof/>
              </w:rPr>
              <w:t>rious Incident Management at a g</w:t>
            </w:r>
            <w:r w:rsidR="009C1A45" w:rsidRPr="009F7D92">
              <w:rPr>
                <w:rStyle w:val="Hyperlink"/>
                <w:noProof/>
              </w:rPr>
              <w:t>lance</w:t>
            </w:r>
            <w:r w:rsidR="009C1A45">
              <w:rPr>
                <w:noProof/>
                <w:webHidden/>
              </w:rPr>
              <w:tab/>
            </w:r>
            <w:r w:rsidR="009C1A45">
              <w:rPr>
                <w:noProof/>
                <w:webHidden/>
              </w:rPr>
              <w:fldChar w:fldCharType="begin"/>
            </w:r>
            <w:r w:rsidR="009C1A45">
              <w:rPr>
                <w:noProof/>
                <w:webHidden/>
              </w:rPr>
              <w:instrText xml:space="preserve"> PAGEREF _Toc414568020 \h </w:instrText>
            </w:r>
            <w:r w:rsidR="009C1A45">
              <w:rPr>
                <w:noProof/>
                <w:webHidden/>
              </w:rPr>
            </w:r>
            <w:r w:rsidR="009C1A45">
              <w:rPr>
                <w:noProof/>
                <w:webHidden/>
              </w:rPr>
              <w:fldChar w:fldCharType="separate"/>
            </w:r>
            <w:r w:rsidR="0072371B">
              <w:rPr>
                <w:noProof/>
                <w:webHidden/>
              </w:rPr>
              <w:t>7</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21" w:history="1">
            <w:r w:rsidR="009C1A45" w:rsidRPr="009F7D92">
              <w:rPr>
                <w:rStyle w:val="Hyperlink"/>
                <w:noProof/>
              </w:rPr>
              <w:t>Policy statement</w:t>
            </w:r>
            <w:r w:rsidR="009C1A45">
              <w:rPr>
                <w:noProof/>
                <w:webHidden/>
              </w:rPr>
              <w:tab/>
            </w:r>
            <w:r w:rsidR="009C1A45">
              <w:rPr>
                <w:noProof/>
                <w:webHidden/>
              </w:rPr>
              <w:fldChar w:fldCharType="begin"/>
            </w:r>
            <w:r w:rsidR="009C1A45">
              <w:rPr>
                <w:noProof/>
                <w:webHidden/>
              </w:rPr>
              <w:instrText xml:space="preserve"> PAGEREF _Toc414568021 \h </w:instrText>
            </w:r>
            <w:r w:rsidR="009C1A45">
              <w:rPr>
                <w:noProof/>
                <w:webHidden/>
              </w:rPr>
            </w:r>
            <w:r w:rsidR="009C1A45">
              <w:rPr>
                <w:noProof/>
                <w:webHidden/>
              </w:rPr>
              <w:fldChar w:fldCharType="separate"/>
            </w:r>
            <w:r>
              <w:rPr>
                <w:noProof/>
                <w:webHidden/>
              </w:rPr>
              <w:t>8</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22" w:history="1">
            <w:r w:rsidR="009C1A45" w:rsidRPr="009F7D92">
              <w:rPr>
                <w:rStyle w:val="Hyperlink"/>
                <w:noProof/>
              </w:rPr>
              <w:t>Acknowledgements</w:t>
            </w:r>
            <w:r w:rsidR="009C1A45">
              <w:rPr>
                <w:noProof/>
                <w:webHidden/>
              </w:rPr>
              <w:tab/>
            </w:r>
            <w:r w:rsidR="009C1A45">
              <w:rPr>
                <w:noProof/>
                <w:webHidden/>
              </w:rPr>
              <w:fldChar w:fldCharType="begin"/>
            </w:r>
            <w:r w:rsidR="009C1A45">
              <w:rPr>
                <w:noProof/>
                <w:webHidden/>
              </w:rPr>
              <w:instrText xml:space="preserve"> PAGEREF _Toc414568022 \h </w:instrText>
            </w:r>
            <w:r w:rsidR="009C1A45">
              <w:rPr>
                <w:noProof/>
                <w:webHidden/>
              </w:rPr>
            </w:r>
            <w:r w:rsidR="009C1A45">
              <w:rPr>
                <w:noProof/>
                <w:webHidden/>
              </w:rPr>
              <w:fldChar w:fldCharType="separate"/>
            </w:r>
            <w:r>
              <w:rPr>
                <w:noProof/>
                <w:webHidden/>
              </w:rPr>
              <w:t>9</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23" w:history="1">
            <w:r w:rsidR="009C1A45" w:rsidRPr="009F7D92">
              <w:rPr>
                <w:rStyle w:val="Hyperlink"/>
                <w:noProof/>
              </w:rPr>
              <w:t>Purpose</w:t>
            </w:r>
            <w:r w:rsidR="009C1A45">
              <w:rPr>
                <w:noProof/>
                <w:webHidden/>
              </w:rPr>
              <w:tab/>
            </w:r>
            <w:r w:rsidR="009C1A45">
              <w:rPr>
                <w:noProof/>
                <w:webHidden/>
              </w:rPr>
              <w:fldChar w:fldCharType="begin"/>
            </w:r>
            <w:r w:rsidR="009C1A45">
              <w:rPr>
                <w:noProof/>
                <w:webHidden/>
              </w:rPr>
              <w:instrText xml:space="preserve"> PAGEREF _Toc414568023 \h </w:instrText>
            </w:r>
            <w:r w:rsidR="009C1A45">
              <w:rPr>
                <w:noProof/>
                <w:webHidden/>
              </w:rPr>
            </w:r>
            <w:r w:rsidR="009C1A45">
              <w:rPr>
                <w:noProof/>
                <w:webHidden/>
              </w:rPr>
              <w:fldChar w:fldCharType="separate"/>
            </w:r>
            <w:r>
              <w:rPr>
                <w:noProof/>
                <w:webHidden/>
              </w:rPr>
              <w:t>9</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24" w:history="1">
            <w:r w:rsidR="009C1A45" w:rsidRPr="009F7D92">
              <w:rPr>
                <w:rStyle w:val="Hyperlink"/>
                <w:noProof/>
              </w:rPr>
              <w:t>Introduction</w:t>
            </w:r>
            <w:r w:rsidR="009C1A45">
              <w:rPr>
                <w:noProof/>
                <w:webHidden/>
              </w:rPr>
              <w:tab/>
            </w:r>
            <w:r w:rsidR="009C1A45">
              <w:rPr>
                <w:noProof/>
                <w:webHidden/>
              </w:rPr>
              <w:fldChar w:fldCharType="begin"/>
            </w:r>
            <w:r w:rsidR="009C1A45">
              <w:rPr>
                <w:noProof/>
                <w:webHidden/>
              </w:rPr>
              <w:instrText xml:space="preserve"> PAGEREF _Toc414568024 \h </w:instrText>
            </w:r>
            <w:r w:rsidR="009C1A45">
              <w:rPr>
                <w:noProof/>
                <w:webHidden/>
              </w:rPr>
            </w:r>
            <w:r w:rsidR="009C1A45">
              <w:rPr>
                <w:noProof/>
                <w:webHidden/>
              </w:rPr>
              <w:fldChar w:fldCharType="separate"/>
            </w:r>
            <w:r>
              <w:rPr>
                <w:noProof/>
                <w:webHidden/>
              </w:rPr>
              <w:t>11</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25" w:history="1">
            <w:r w:rsidR="009C1A45" w:rsidRPr="00356FCB">
              <w:rPr>
                <w:rStyle w:val="Hyperlink"/>
                <w:b/>
                <w:noProof/>
              </w:rPr>
              <w:t>Part One: Definitions and Thresholds</w:t>
            </w:r>
            <w:r w:rsidR="009C1A45">
              <w:rPr>
                <w:noProof/>
                <w:webHidden/>
              </w:rPr>
              <w:tab/>
            </w:r>
            <w:r w:rsidR="009C1A45">
              <w:rPr>
                <w:noProof/>
                <w:webHidden/>
              </w:rPr>
              <w:fldChar w:fldCharType="begin"/>
            </w:r>
            <w:r w:rsidR="009C1A45">
              <w:rPr>
                <w:noProof/>
                <w:webHidden/>
              </w:rPr>
              <w:instrText xml:space="preserve"> PAGEREF _Toc414568025 \h </w:instrText>
            </w:r>
            <w:r w:rsidR="009C1A45">
              <w:rPr>
                <w:noProof/>
                <w:webHidden/>
              </w:rPr>
            </w:r>
            <w:r w:rsidR="009C1A45">
              <w:rPr>
                <w:noProof/>
                <w:webHidden/>
              </w:rPr>
              <w:fldChar w:fldCharType="separate"/>
            </w:r>
            <w:r>
              <w:rPr>
                <w:noProof/>
                <w:webHidden/>
              </w:rPr>
              <w:t>12</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26" w:history="1">
            <w:r w:rsidR="009C1A45" w:rsidRPr="009F7D92">
              <w:rPr>
                <w:rStyle w:val="Hyperlink"/>
                <w:noProof/>
              </w:rPr>
              <w:t>1.</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What is a Serious Incident?</w:t>
            </w:r>
            <w:r w:rsidR="009C1A45">
              <w:rPr>
                <w:noProof/>
                <w:webHidden/>
              </w:rPr>
              <w:tab/>
            </w:r>
            <w:r w:rsidR="009C1A45">
              <w:rPr>
                <w:noProof/>
                <w:webHidden/>
              </w:rPr>
              <w:fldChar w:fldCharType="begin"/>
            </w:r>
            <w:r w:rsidR="009C1A45">
              <w:rPr>
                <w:noProof/>
                <w:webHidden/>
              </w:rPr>
              <w:instrText xml:space="preserve"> PAGEREF _Toc414568026 \h </w:instrText>
            </w:r>
            <w:r w:rsidR="009C1A45">
              <w:rPr>
                <w:noProof/>
                <w:webHidden/>
              </w:rPr>
            </w:r>
            <w:r w:rsidR="009C1A45">
              <w:rPr>
                <w:noProof/>
                <w:webHidden/>
              </w:rPr>
              <w:fldChar w:fldCharType="separate"/>
            </w:r>
            <w:r>
              <w:rPr>
                <w:noProof/>
                <w:webHidden/>
              </w:rPr>
              <w:t>12</w:t>
            </w:r>
            <w:r w:rsidR="009C1A45">
              <w:rPr>
                <w:noProof/>
                <w:webHidden/>
              </w:rPr>
              <w:fldChar w:fldCharType="end"/>
            </w:r>
          </w:hyperlink>
        </w:p>
        <w:p w:rsidR="009C1A45" w:rsidRDefault="0072371B">
          <w:pPr>
            <w:pStyle w:val="TOC2"/>
            <w:tabs>
              <w:tab w:val="left" w:pos="880"/>
              <w:tab w:val="right" w:leader="dot" w:pos="9202"/>
            </w:tabs>
            <w:rPr>
              <w:rFonts w:asciiTheme="minorHAnsi" w:eastAsiaTheme="minorEastAsia" w:hAnsiTheme="minorHAnsi" w:cstheme="minorBidi"/>
              <w:bCs w:val="0"/>
              <w:noProof/>
              <w:sz w:val="22"/>
              <w:szCs w:val="22"/>
              <w:lang w:eastAsia="en-GB"/>
            </w:rPr>
          </w:pPr>
          <w:hyperlink w:anchor="_Toc414568027" w:history="1">
            <w:r w:rsidR="009C1A45" w:rsidRPr="009F7D92">
              <w:rPr>
                <w:rStyle w:val="Hyperlink"/>
                <w:noProof/>
              </w:rPr>
              <w:t>1.1.</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Assessing whether an incident is a serious incident</w:t>
            </w:r>
            <w:r w:rsidR="009C1A45">
              <w:rPr>
                <w:noProof/>
                <w:webHidden/>
              </w:rPr>
              <w:tab/>
            </w:r>
            <w:r w:rsidR="009C1A45">
              <w:rPr>
                <w:noProof/>
                <w:webHidden/>
              </w:rPr>
              <w:fldChar w:fldCharType="begin"/>
            </w:r>
            <w:r w:rsidR="009C1A45">
              <w:rPr>
                <w:noProof/>
                <w:webHidden/>
              </w:rPr>
              <w:instrText xml:space="preserve"> PAGEREF _Toc414568027 \h </w:instrText>
            </w:r>
            <w:r w:rsidR="009C1A45">
              <w:rPr>
                <w:noProof/>
                <w:webHidden/>
              </w:rPr>
            </w:r>
            <w:r w:rsidR="009C1A45">
              <w:rPr>
                <w:noProof/>
                <w:webHidden/>
              </w:rPr>
              <w:fldChar w:fldCharType="separate"/>
            </w:r>
            <w:r>
              <w:rPr>
                <w:noProof/>
                <w:webHidden/>
              </w:rPr>
              <w:t>14</w:t>
            </w:r>
            <w:r w:rsidR="009C1A45">
              <w:rPr>
                <w:noProof/>
                <w:webHidden/>
              </w:rPr>
              <w:fldChar w:fldCharType="end"/>
            </w:r>
          </w:hyperlink>
        </w:p>
        <w:p w:rsidR="009C1A45" w:rsidRDefault="0072371B">
          <w:pPr>
            <w:pStyle w:val="TOC2"/>
            <w:tabs>
              <w:tab w:val="left" w:pos="880"/>
              <w:tab w:val="right" w:leader="dot" w:pos="9202"/>
            </w:tabs>
            <w:rPr>
              <w:rFonts w:asciiTheme="minorHAnsi" w:eastAsiaTheme="minorEastAsia" w:hAnsiTheme="minorHAnsi" w:cstheme="minorBidi"/>
              <w:bCs w:val="0"/>
              <w:noProof/>
              <w:sz w:val="22"/>
              <w:szCs w:val="22"/>
              <w:lang w:eastAsia="en-GB"/>
            </w:rPr>
          </w:pPr>
          <w:hyperlink w:anchor="_Toc414568028" w:history="1">
            <w:r w:rsidR="009C1A45" w:rsidRPr="009F7D92">
              <w:rPr>
                <w:rStyle w:val="Hyperlink"/>
                <w:noProof/>
              </w:rPr>
              <w:t>1.2.</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Can a ‘near miss’ be a serious incident?</w:t>
            </w:r>
            <w:r w:rsidR="009C1A45">
              <w:rPr>
                <w:noProof/>
                <w:webHidden/>
              </w:rPr>
              <w:tab/>
            </w:r>
            <w:r w:rsidR="009C1A45">
              <w:rPr>
                <w:noProof/>
                <w:webHidden/>
              </w:rPr>
              <w:fldChar w:fldCharType="begin"/>
            </w:r>
            <w:r w:rsidR="009C1A45">
              <w:rPr>
                <w:noProof/>
                <w:webHidden/>
              </w:rPr>
              <w:instrText xml:space="preserve"> PAGEREF _Toc414568028 \h </w:instrText>
            </w:r>
            <w:r w:rsidR="009C1A45">
              <w:rPr>
                <w:noProof/>
                <w:webHidden/>
              </w:rPr>
            </w:r>
            <w:r w:rsidR="009C1A45">
              <w:rPr>
                <w:noProof/>
                <w:webHidden/>
              </w:rPr>
              <w:fldChar w:fldCharType="separate"/>
            </w:r>
            <w:r>
              <w:rPr>
                <w:noProof/>
                <w:webHidden/>
              </w:rPr>
              <w:t>15</w:t>
            </w:r>
            <w:r w:rsidR="009C1A45">
              <w:rPr>
                <w:noProof/>
                <w:webHidden/>
              </w:rPr>
              <w:fldChar w:fldCharType="end"/>
            </w:r>
          </w:hyperlink>
        </w:p>
        <w:p w:rsidR="009C1A45" w:rsidRDefault="0072371B">
          <w:pPr>
            <w:pStyle w:val="TOC2"/>
            <w:tabs>
              <w:tab w:val="left" w:pos="880"/>
              <w:tab w:val="right" w:leader="dot" w:pos="9202"/>
            </w:tabs>
            <w:rPr>
              <w:rFonts w:asciiTheme="minorHAnsi" w:eastAsiaTheme="minorEastAsia" w:hAnsiTheme="minorHAnsi" w:cstheme="minorBidi"/>
              <w:bCs w:val="0"/>
              <w:noProof/>
              <w:sz w:val="22"/>
              <w:szCs w:val="22"/>
              <w:lang w:eastAsia="en-GB"/>
            </w:rPr>
          </w:pPr>
          <w:hyperlink w:anchor="_Toc414568029" w:history="1">
            <w:r w:rsidR="009C1A45" w:rsidRPr="009F7D92">
              <w:rPr>
                <w:rStyle w:val="Hyperlink"/>
                <w:noProof/>
              </w:rPr>
              <w:t>1.3.</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How are serious incidents identified?</w:t>
            </w:r>
            <w:r w:rsidR="009C1A45">
              <w:rPr>
                <w:noProof/>
                <w:webHidden/>
              </w:rPr>
              <w:tab/>
            </w:r>
            <w:r w:rsidR="009C1A45">
              <w:rPr>
                <w:noProof/>
                <w:webHidden/>
              </w:rPr>
              <w:fldChar w:fldCharType="begin"/>
            </w:r>
            <w:r w:rsidR="009C1A45">
              <w:rPr>
                <w:noProof/>
                <w:webHidden/>
              </w:rPr>
              <w:instrText xml:space="preserve"> PAGEREF _Toc414568029 \h </w:instrText>
            </w:r>
            <w:r w:rsidR="009C1A45">
              <w:rPr>
                <w:noProof/>
                <w:webHidden/>
              </w:rPr>
            </w:r>
            <w:r w:rsidR="009C1A45">
              <w:rPr>
                <w:noProof/>
                <w:webHidden/>
              </w:rPr>
              <w:fldChar w:fldCharType="separate"/>
            </w:r>
            <w:r>
              <w:rPr>
                <w:noProof/>
                <w:webHidden/>
              </w:rPr>
              <w:t>15</w:t>
            </w:r>
            <w:r w:rsidR="009C1A45">
              <w:rPr>
                <w:noProof/>
                <w:webHidden/>
              </w:rPr>
              <w:fldChar w:fldCharType="end"/>
            </w:r>
          </w:hyperlink>
        </w:p>
        <w:p w:rsidR="009C1A45" w:rsidRDefault="0072371B">
          <w:pPr>
            <w:pStyle w:val="TOC2"/>
            <w:tabs>
              <w:tab w:val="left" w:pos="880"/>
              <w:tab w:val="right" w:leader="dot" w:pos="9202"/>
            </w:tabs>
            <w:rPr>
              <w:rFonts w:asciiTheme="minorHAnsi" w:eastAsiaTheme="minorEastAsia" w:hAnsiTheme="minorHAnsi" w:cstheme="minorBidi"/>
              <w:bCs w:val="0"/>
              <w:noProof/>
              <w:sz w:val="22"/>
              <w:szCs w:val="22"/>
              <w:lang w:eastAsia="en-GB"/>
            </w:rPr>
          </w:pPr>
          <w:hyperlink w:anchor="_Toc414568030" w:history="1">
            <w:r w:rsidR="009C1A45" w:rsidRPr="009F7D92">
              <w:rPr>
                <w:rStyle w:val="Hyperlink"/>
                <w:noProof/>
              </w:rPr>
              <w:t>1.4.</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Risk management and prioritisation</w:t>
            </w:r>
            <w:r w:rsidR="009C1A45">
              <w:rPr>
                <w:noProof/>
                <w:webHidden/>
              </w:rPr>
              <w:tab/>
            </w:r>
            <w:r w:rsidR="009C1A45">
              <w:rPr>
                <w:noProof/>
                <w:webHidden/>
              </w:rPr>
              <w:fldChar w:fldCharType="begin"/>
            </w:r>
            <w:r w:rsidR="009C1A45">
              <w:rPr>
                <w:noProof/>
                <w:webHidden/>
              </w:rPr>
              <w:instrText xml:space="preserve"> PAGEREF _Toc414568030 \h </w:instrText>
            </w:r>
            <w:r w:rsidR="009C1A45">
              <w:rPr>
                <w:noProof/>
                <w:webHidden/>
              </w:rPr>
            </w:r>
            <w:r w:rsidR="009C1A45">
              <w:rPr>
                <w:noProof/>
                <w:webHidden/>
              </w:rPr>
              <w:fldChar w:fldCharType="separate"/>
            </w:r>
            <w:r>
              <w:rPr>
                <w:noProof/>
                <w:webHidden/>
              </w:rPr>
              <w:t>16</w:t>
            </w:r>
            <w:r w:rsidR="009C1A45">
              <w:rPr>
                <w:noProof/>
                <w:webHidden/>
              </w:rPr>
              <w:fldChar w:fldCharType="end"/>
            </w:r>
          </w:hyperlink>
        </w:p>
        <w:p w:rsidR="009C1A45" w:rsidRDefault="0072371B">
          <w:pPr>
            <w:pStyle w:val="TOC3"/>
            <w:tabs>
              <w:tab w:val="left" w:pos="1320"/>
              <w:tab w:val="right" w:leader="dot" w:pos="9202"/>
            </w:tabs>
            <w:rPr>
              <w:rFonts w:asciiTheme="minorHAnsi" w:eastAsiaTheme="minorEastAsia" w:hAnsiTheme="minorHAnsi" w:cstheme="minorBidi"/>
              <w:bCs w:val="0"/>
              <w:noProof/>
              <w:sz w:val="22"/>
              <w:szCs w:val="22"/>
              <w:lang w:eastAsia="en-GB"/>
            </w:rPr>
          </w:pPr>
          <w:hyperlink w:anchor="_Toc414568031" w:history="1">
            <w:r w:rsidR="009C1A45" w:rsidRPr="009F7D92">
              <w:rPr>
                <w:rStyle w:val="Hyperlink"/>
                <w:noProof/>
              </w:rPr>
              <w:t>1.4.1.</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Prioritising</w:t>
            </w:r>
            <w:r w:rsidR="009C1A45">
              <w:rPr>
                <w:noProof/>
                <w:webHidden/>
              </w:rPr>
              <w:tab/>
            </w:r>
            <w:r w:rsidR="009C1A45">
              <w:rPr>
                <w:noProof/>
                <w:webHidden/>
              </w:rPr>
              <w:fldChar w:fldCharType="begin"/>
            </w:r>
            <w:r w:rsidR="009C1A45">
              <w:rPr>
                <w:noProof/>
                <w:webHidden/>
              </w:rPr>
              <w:instrText xml:space="preserve"> PAGEREF _Toc414568031 \h </w:instrText>
            </w:r>
            <w:r w:rsidR="009C1A45">
              <w:rPr>
                <w:noProof/>
                <w:webHidden/>
              </w:rPr>
            </w:r>
            <w:r w:rsidR="009C1A45">
              <w:rPr>
                <w:noProof/>
                <w:webHidden/>
              </w:rPr>
              <w:fldChar w:fldCharType="separate"/>
            </w:r>
            <w:r>
              <w:rPr>
                <w:noProof/>
                <w:webHidden/>
              </w:rPr>
              <w:t>16</w:t>
            </w:r>
            <w:r w:rsidR="009C1A45">
              <w:rPr>
                <w:noProof/>
                <w:webHidden/>
              </w:rPr>
              <w:fldChar w:fldCharType="end"/>
            </w:r>
          </w:hyperlink>
        </w:p>
        <w:p w:rsidR="009C1A45" w:rsidRDefault="0072371B">
          <w:pPr>
            <w:pStyle w:val="TOC3"/>
            <w:tabs>
              <w:tab w:val="left" w:pos="1320"/>
              <w:tab w:val="right" w:leader="dot" w:pos="9202"/>
            </w:tabs>
            <w:rPr>
              <w:rFonts w:asciiTheme="minorHAnsi" w:eastAsiaTheme="minorEastAsia" w:hAnsiTheme="minorHAnsi" w:cstheme="minorBidi"/>
              <w:bCs w:val="0"/>
              <w:noProof/>
              <w:sz w:val="22"/>
              <w:szCs w:val="22"/>
              <w:lang w:eastAsia="en-GB"/>
            </w:rPr>
          </w:pPr>
          <w:hyperlink w:anchor="_Toc414568032" w:history="1">
            <w:r w:rsidR="009C1A45" w:rsidRPr="009F7D92">
              <w:rPr>
                <w:rStyle w:val="Hyperlink"/>
                <w:noProof/>
              </w:rPr>
              <w:t>1.4.2.</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Opportunities for investing time in learning</w:t>
            </w:r>
            <w:r w:rsidR="009C1A45">
              <w:rPr>
                <w:noProof/>
                <w:webHidden/>
              </w:rPr>
              <w:tab/>
            </w:r>
            <w:r w:rsidR="009C1A45">
              <w:rPr>
                <w:noProof/>
                <w:webHidden/>
              </w:rPr>
              <w:fldChar w:fldCharType="begin"/>
            </w:r>
            <w:r w:rsidR="009C1A45">
              <w:rPr>
                <w:noProof/>
                <w:webHidden/>
              </w:rPr>
              <w:instrText xml:space="preserve"> PAGEREF _Toc414568032 \h </w:instrText>
            </w:r>
            <w:r w:rsidR="009C1A45">
              <w:rPr>
                <w:noProof/>
                <w:webHidden/>
              </w:rPr>
            </w:r>
            <w:r w:rsidR="009C1A45">
              <w:rPr>
                <w:noProof/>
                <w:webHidden/>
              </w:rPr>
              <w:fldChar w:fldCharType="separate"/>
            </w:r>
            <w:r>
              <w:rPr>
                <w:noProof/>
                <w:webHidden/>
              </w:rPr>
              <w:t>16</w:t>
            </w:r>
            <w:r w:rsidR="009C1A45">
              <w:rPr>
                <w:noProof/>
                <w:webHidden/>
              </w:rPr>
              <w:fldChar w:fldCharType="end"/>
            </w:r>
          </w:hyperlink>
        </w:p>
        <w:p w:rsidR="009C1A45" w:rsidRDefault="0072371B">
          <w:pPr>
            <w:pStyle w:val="TOC3"/>
            <w:tabs>
              <w:tab w:val="right" w:leader="dot" w:pos="9202"/>
            </w:tabs>
            <w:rPr>
              <w:rFonts w:asciiTheme="minorHAnsi" w:eastAsiaTheme="minorEastAsia" w:hAnsiTheme="minorHAnsi" w:cstheme="minorBidi"/>
              <w:bCs w:val="0"/>
              <w:noProof/>
              <w:sz w:val="22"/>
              <w:szCs w:val="22"/>
              <w:lang w:eastAsia="en-GB"/>
            </w:rPr>
          </w:pPr>
          <w:hyperlink w:anchor="_Toc414568033" w:history="1">
            <w:r w:rsidR="009C1A45" w:rsidRPr="009F7D92">
              <w:rPr>
                <w:rStyle w:val="Hyperlink"/>
                <w:noProof/>
              </w:rPr>
              <w:t xml:space="preserve">1.4.3. </w:t>
            </w:r>
            <w:r w:rsidR="00356FCB">
              <w:rPr>
                <w:rStyle w:val="Hyperlink"/>
                <w:noProof/>
              </w:rPr>
              <w:t xml:space="preserve">  </w:t>
            </w:r>
            <w:r w:rsidR="009C1A45" w:rsidRPr="009F7D92">
              <w:rPr>
                <w:rStyle w:val="Hyperlink"/>
                <w:noProof/>
              </w:rPr>
              <w:t>Prevalence</w:t>
            </w:r>
            <w:r w:rsidR="009C1A45">
              <w:rPr>
                <w:noProof/>
                <w:webHidden/>
              </w:rPr>
              <w:tab/>
            </w:r>
            <w:r w:rsidR="009C1A45">
              <w:rPr>
                <w:noProof/>
                <w:webHidden/>
              </w:rPr>
              <w:fldChar w:fldCharType="begin"/>
            </w:r>
            <w:r w:rsidR="009C1A45">
              <w:rPr>
                <w:noProof/>
                <w:webHidden/>
              </w:rPr>
              <w:instrText xml:space="preserve"> PAGEREF _Toc414568033 \h </w:instrText>
            </w:r>
            <w:r w:rsidR="009C1A45">
              <w:rPr>
                <w:noProof/>
                <w:webHidden/>
              </w:rPr>
            </w:r>
            <w:r w:rsidR="009C1A45">
              <w:rPr>
                <w:noProof/>
                <w:webHidden/>
              </w:rPr>
              <w:fldChar w:fldCharType="separate"/>
            </w:r>
            <w:r>
              <w:rPr>
                <w:noProof/>
                <w:webHidden/>
              </w:rPr>
              <w:t>17</w:t>
            </w:r>
            <w:r w:rsidR="009C1A45">
              <w:rPr>
                <w:noProof/>
                <w:webHidden/>
              </w:rPr>
              <w:fldChar w:fldCharType="end"/>
            </w:r>
          </w:hyperlink>
        </w:p>
        <w:p w:rsidR="009C1A45" w:rsidRDefault="0072371B">
          <w:pPr>
            <w:pStyle w:val="TOC2"/>
            <w:tabs>
              <w:tab w:val="left" w:pos="880"/>
              <w:tab w:val="right" w:leader="dot" w:pos="9202"/>
            </w:tabs>
            <w:rPr>
              <w:rFonts w:asciiTheme="minorHAnsi" w:eastAsiaTheme="minorEastAsia" w:hAnsiTheme="minorHAnsi" w:cstheme="minorBidi"/>
              <w:bCs w:val="0"/>
              <w:noProof/>
              <w:sz w:val="22"/>
              <w:szCs w:val="22"/>
              <w:lang w:eastAsia="en-GB"/>
            </w:rPr>
          </w:pPr>
          <w:hyperlink w:anchor="_Toc414568034" w:history="1">
            <w:r w:rsidR="009C1A45" w:rsidRPr="009F7D92">
              <w:rPr>
                <w:rStyle w:val="Hyperlink"/>
                <w:noProof/>
              </w:rPr>
              <w:t>1.5.</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Framework application and interfaces with other sectors</w:t>
            </w:r>
            <w:r w:rsidR="009C1A45">
              <w:rPr>
                <w:noProof/>
                <w:webHidden/>
              </w:rPr>
              <w:tab/>
            </w:r>
            <w:r w:rsidR="009C1A45">
              <w:rPr>
                <w:noProof/>
                <w:webHidden/>
              </w:rPr>
              <w:fldChar w:fldCharType="begin"/>
            </w:r>
            <w:r w:rsidR="009C1A45">
              <w:rPr>
                <w:noProof/>
                <w:webHidden/>
              </w:rPr>
              <w:instrText xml:space="preserve"> PAGEREF _Toc414568034 \h </w:instrText>
            </w:r>
            <w:r w:rsidR="009C1A45">
              <w:rPr>
                <w:noProof/>
                <w:webHidden/>
              </w:rPr>
            </w:r>
            <w:r w:rsidR="009C1A45">
              <w:rPr>
                <w:noProof/>
                <w:webHidden/>
              </w:rPr>
              <w:fldChar w:fldCharType="separate"/>
            </w:r>
            <w:r>
              <w:rPr>
                <w:noProof/>
                <w:webHidden/>
              </w:rPr>
              <w:t>17</w:t>
            </w:r>
            <w:r w:rsidR="009C1A45">
              <w:rPr>
                <w:noProof/>
                <w:webHidden/>
              </w:rPr>
              <w:fldChar w:fldCharType="end"/>
            </w:r>
          </w:hyperlink>
        </w:p>
        <w:p w:rsidR="009C1A45" w:rsidRDefault="0072371B">
          <w:pPr>
            <w:pStyle w:val="TOC3"/>
            <w:tabs>
              <w:tab w:val="left" w:pos="1320"/>
              <w:tab w:val="right" w:leader="dot" w:pos="9202"/>
            </w:tabs>
            <w:rPr>
              <w:rFonts w:asciiTheme="minorHAnsi" w:eastAsiaTheme="minorEastAsia" w:hAnsiTheme="minorHAnsi" w:cstheme="minorBidi"/>
              <w:bCs w:val="0"/>
              <w:noProof/>
              <w:sz w:val="22"/>
              <w:szCs w:val="22"/>
              <w:lang w:eastAsia="en-GB"/>
            </w:rPr>
          </w:pPr>
          <w:hyperlink w:anchor="_Toc414568035" w:history="1">
            <w:r w:rsidR="009C1A45" w:rsidRPr="009F7D92">
              <w:rPr>
                <w:rStyle w:val="Hyperlink"/>
                <w:noProof/>
              </w:rPr>
              <w:t>1.5.1.</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Deaths in Custody- where health provision is delivered by the NHS</w:t>
            </w:r>
            <w:r w:rsidR="009C1A45">
              <w:rPr>
                <w:noProof/>
                <w:webHidden/>
              </w:rPr>
              <w:tab/>
            </w:r>
            <w:r w:rsidR="009C1A45">
              <w:rPr>
                <w:noProof/>
                <w:webHidden/>
              </w:rPr>
              <w:fldChar w:fldCharType="begin"/>
            </w:r>
            <w:r w:rsidR="009C1A45">
              <w:rPr>
                <w:noProof/>
                <w:webHidden/>
              </w:rPr>
              <w:instrText xml:space="preserve"> PAGEREF _Toc414568035 \h </w:instrText>
            </w:r>
            <w:r w:rsidR="009C1A45">
              <w:rPr>
                <w:noProof/>
                <w:webHidden/>
              </w:rPr>
            </w:r>
            <w:r w:rsidR="009C1A45">
              <w:rPr>
                <w:noProof/>
                <w:webHidden/>
              </w:rPr>
              <w:fldChar w:fldCharType="separate"/>
            </w:r>
            <w:r>
              <w:rPr>
                <w:noProof/>
                <w:webHidden/>
              </w:rPr>
              <w:t>18</w:t>
            </w:r>
            <w:r w:rsidR="009C1A45">
              <w:rPr>
                <w:noProof/>
                <w:webHidden/>
              </w:rPr>
              <w:fldChar w:fldCharType="end"/>
            </w:r>
          </w:hyperlink>
        </w:p>
        <w:p w:rsidR="009C1A45" w:rsidRDefault="0072371B">
          <w:pPr>
            <w:pStyle w:val="TOC3"/>
            <w:tabs>
              <w:tab w:val="left" w:pos="1320"/>
              <w:tab w:val="right" w:leader="dot" w:pos="9202"/>
            </w:tabs>
            <w:rPr>
              <w:rFonts w:asciiTheme="minorHAnsi" w:eastAsiaTheme="minorEastAsia" w:hAnsiTheme="minorHAnsi" w:cstheme="minorBidi"/>
              <w:bCs w:val="0"/>
              <w:noProof/>
              <w:sz w:val="22"/>
              <w:szCs w:val="22"/>
              <w:lang w:eastAsia="en-GB"/>
            </w:rPr>
          </w:pPr>
          <w:hyperlink w:anchor="_Toc414568036" w:history="1">
            <w:r w:rsidR="009C1A45" w:rsidRPr="009F7D92">
              <w:rPr>
                <w:rStyle w:val="Hyperlink"/>
                <w:noProof/>
              </w:rPr>
              <w:t>1.5.2.</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Serious Case Reviews and Safeguarding Adult Reviews</w:t>
            </w:r>
            <w:r w:rsidR="009C1A45">
              <w:rPr>
                <w:noProof/>
                <w:webHidden/>
              </w:rPr>
              <w:tab/>
            </w:r>
            <w:r w:rsidR="009C1A45">
              <w:rPr>
                <w:noProof/>
                <w:webHidden/>
              </w:rPr>
              <w:fldChar w:fldCharType="begin"/>
            </w:r>
            <w:r w:rsidR="009C1A45">
              <w:rPr>
                <w:noProof/>
                <w:webHidden/>
              </w:rPr>
              <w:instrText xml:space="preserve"> PAGEREF _Toc414568036 \h </w:instrText>
            </w:r>
            <w:r w:rsidR="009C1A45">
              <w:rPr>
                <w:noProof/>
                <w:webHidden/>
              </w:rPr>
            </w:r>
            <w:r w:rsidR="009C1A45">
              <w:rPr>
                <w:noProof/>
                <w:webHidden/>
              </w:rPr>
              <w:fldChar w:fldCharType="separate"/>
            </w:r>
            <w:r>
              <w:rPr>
                <w:noProof/>
                <w:webHidden/>
              </w:rPr>
              <w:t>18</w:t>
            </w:r>
            <w:r w:rsidR="009C1A45">
              <w:rPr>
                <w:noProof/>
                <w:webHidden/>
              </w:rPr>
              <w:fldChar w:fldCharType="end"/>
            </w:r>
          </w:hyperlink>
        </w:p>
        <w:p w:rsidR="009C1A45" w:rsidRDefault="0072371B">
          <w:pPr>
            <w:pStyle w:val="TOC3"/>
            <w:tabs>
              <w:tab w:val="left" w:pos="1320"/>
              <w:tab w:val="right" w:leader="dot" w:pos="9202"/>
            </w:tabs>
            <w:rPr>
              <w:rFonts w:asciiTheme="minorHAnsi" w:eastAsiaTheme="minorEastAsia" w:hAnsiTheme="minorHAnsi" w:cstheme="minorBidi"/>
              <w:bCs w:val="0"/>
              <w:noProof/>
              <w:sz w:val="22"/>
              <w:szCs w:val="22"/>
              <w:lang w:eastAsia="en-GB"/>
            </w:rPr>
          </w:pPr>
          <w:hyperlink w:anchor="_Toc414568037" w:history="1">
            <w:r w:rsidR="009C1A45" w:rsidRPr="009F7D92">
              <w:rPr>
                <w:rStyle w:val="Hyperlink"/>
                <w:noProof/>
              </w:rPr>
              <w:t>1.5.3.</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Domestic Homicide Reviews</w:t>
            </w:r>
            <w:r w:rsidR="009C1A45">
              <w:rPr>
                <w:noProof/>
                <w:webHidden/>
              </w:rPr>
              <w:tab/>
            </w:r>
            <w:r w:rsidR="009C1A45">
              <w:rPr>
                <w:noProof/>
                <w:webHidden/>
              </w:rPr>
              <w:fldChar w:fldCharType="begin"/>
            </w:r>
            <w:r w:rsidR="009C1A45">
              <w:rPr>
                <w:noProof/>
                <w:webHidden/>
              </w:rPr>
              <w:instrText xml:space="preserve"> PAGEREF _Toc414568037 \h </w:instrText>
            </w:r>
            <w:r w:rsidR="009C1A45">
              <w:rPr>
                <w:noProof/>
                <w:webHidden/>
              </w:rPr>
            </w:r>
            <w:r w:rsidR="009C1A45">
              <w:rPr>
                <w:noProof/>
                <w:webHidden/>
              </w:rPr>
              <w:fldChar w:fldCharType="separate"/>
            </w:r>
            <w:r>
              <w:rPr>
                <w:noProof/>
                <w:webHidden/>
              </w:rPr>
              <w:t>19</w:t>
            </w:r>
            <w:r w:rsidR="009C1A45">
              <w:rPr>
                <w:noProof/>
                <w:webHidden/>
              </w:rPr>
              <w:fldChar w:fldCharType="end"/>
            </w:r>
          </w:hyperlink>
        </w:p>
        <w:p w:rsidR="009C1A45" w:rsidRDefault="0072371B">
          <w:pPr>
            <w:pStyle w:val="TOC3"/>
            <w:tabs>
              <w:tab w:val="left" w:pos="1320"/>
              <w:tab w:val="right" w:leader="dot" w:pos="9202"/>
            </w:tabs>
            <w:rPr>
              <w:rFonts w:asciiTheme="minorHAnsi" w:eastAsiaTheme="minorEastAsia" w:hAnsiTheme="minorHAnsi" w:cstheme="minorBidi"/>
              <w:bCs w:val="0"/>
              <w:noProof/>
              <w:sz w:val="22"/>
              <w:szCs w:val="22"/>
              <w:lang w:eastAsia="en-GB"/>
            </w:rPr>
          </w:pPr>
          <w:hyperlink w:anchor="_Toc414568038" w:history="1">
            <w:r w:rsidR="009C1A45" w:rsidRPr="009F7D92">
              <w:rPr>
                <w:rStyle w:val="Hyperlink"/>
                <w:noProof/>
              </w:rPr>
              <w:t>1.5.4.</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Homicide by patients in receipt of mental health care</w:t>
            </w:r>
            <w:r w:rsidR="009C1A45">
              <w:rPr>
                <w:noProof/>
                <w:webHidden/>
              </w:rPr>
              <w:tab/>
            </w:r>
            <w:r w:rsidR="009C1A45">
              <w:rPr>
                <w:noProof/>
                <w:webHidden/>
              </w:rPr>
              <w:fldChar w:fldCharType="begin"/>
            </w:r>
            <w:r w:rsidR="009C1A45">
              <w:rPr>
                <w:noProof/>
                <w:webHidden/>
              </w:rPr>
              <w:instrText xml:space="preserve"> PAGEREF _Toc414568038 \h </w:instrText>
            </w:r>
            <w:r w:rsidR="009C1A45">
              <w:rPr>
                <w:noProof/>
                <w:webHidden/>
              </w:rPr>
            </w:r>
            <w:r w:rsidR="009C1A45">
              <w:rPr>
                <w:noProof/>
                <w:webHidden/>
              </w:rPr>
              <w:fldChar w:fldCharType="separate"/>
            </w:r>
            <w:r>
              <w:rPr>
                <w:noProof/>
                <w:webHidden/>
              </w:rPr>
              <w:t>19</w:t>
            </w:r>
            <w:r w:rsidR="009C1A45">
              <w:rPr>
                <w:noProof/>
                <w:webHidden/>
              </w:rPr>
              <w:fldChar w:fldCharType="end"/>
            </w:r>
          </w:hyperlink>
        </w:p>
        <w:p w:rsidR="009C1A45" w:rsidRDefault="0072371B">
          <w:pPr>
            <w:pStyle w:val="TOC3"/>
            <w:tabs>
              <w:tab w:val="left" w:pos="1320"/>
              <w:tab w:val="right" w:leader="dot" w:pos="9202"/>
            </w:tabs>
            <w:rPr>
              <w:rStyle w:val="Hyperlink"/>
              <w:noProof/>
            </w:rPr>
          </w:pPr>
          <w:hyperlink w:anchor="_Toc414568039" w:history="1">
            <w:r w:rsidR="009C1A45" w:rsidRPr="009F7D92">
              <w:rPr>
                <w:rStyle w:val="Hyperlink"/>
                <w:noProof/>
              </w:rPr>
              <w:t>1.5.5.</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Serious Incidents in National Screening Programmes</w:t>
            </w:r>
            <w:r w:rsidR="009C1A45">
              <w:rPr>
                <w:noProof/>
                <w:webHidden/>
              </w:rPr>
              <w:tab/>
            </w:r>
            <w:r w:rsidR="009C1A45">
              <w:rPr>
                <w:noProof/>
                <w:webHidden/>
              </w:rPr>
              <w:fldChar w:fldCharType="begin"/>
            </w:r>
            <w:r w:rsidR="009C1A45">
              <w:rPr>
                <w:noProof/>
                <w:webHidden/>
              </w:rPr>
              <w:instrText xml:space="preserve"> PAGEREF _Toc414568039 \h </w:instrText>
            </w:r>
            <w:r w:rsidR="009C1A45">
              <w:rPr>
                <w:noProof/>
                <w:webHidden/>
              </w:rPr>
            </w:r>
            <w:r w:rsidR="009C1A45">
              <w:rPr>
                <w:noProof/>
                <w:webHidden/>
              </w:rPr>
              <w:fldChar w:fldCharType="separate"/>
            </w:r>
            <w:r>
              <w:rPr>
                <w:noProof/>
                <w:webHidden/>
              </w:rPr>
              <w:t>19</w:t>
            </w:r>
            <w:r w:rsidR="009C1A45">
              <w:rPr>
                <w:noProof/>
                <w:webHidden/>
              </w:rPr>
              <w:fldChar w:fldCharType="end"/>
            </w:r>
          </w:hyperlink>
        </w:p>
        <w:p w:rsidR="00356FCB" w:rsidRPr="00356FCB" w:rsidRDefault="00356FCB" w:rsidP="00356FCB">
          <w:pPr>
            <w:rPr>
              <w:rFonts w:eastAsiaTheme="minorEastAsia"/>
              <w:noProof/>
            </w:rPr>
          </w:pPr>
        </w:p>
        <w:p w:rsidR="009C1A45" w:rsidRDefault="0072371B">
          <w:pPr>
            <w:pStyle w:val="TOC1"/>
            <w:rPr>
              <w:rFonts w:asciiTheme="minorHAnsi" w:eastAsiaTheme="minorEastAsia" w:hAnsiTheme="minorHAnsi" w:cstheme="minorBidi"/>
              <w:bCs w:val="0"/>
              <w:noProof/>
              <w:sz w:val="22"/>
              <w:szCs w:val="22"/>
              <w:lang w:eastAsia="en-GB"/>
            </w:rPr>
          </w:pPr>
          <w:hyperlink w:anchor="_Toc414568040" w:history="1">
            <w:r w:rsidR="009C1A45" w:rsidRPr="00356FCB">
              <w:rPr>
                <w:rStyle w:val="Hyperlink"/>
                <w:b/>
                <w:noProof/>
              </w:rPr>
              <w:t>Part Two: Underpinning Principles</w:t>
            </w:r>
            <w:r w:rsidR="009C1A45">
              <w:rPr>
                <w:noProof/>
                <w:webHidden/>
              </w:rPr>
              <w:tab/>
            </w:r>
            <w:r w:rsidR="009C1A45">
              <w:rPr>
                <w:noProof/>
                <w:webHidden/>
              </w:rPr>
              <w:fldChar w:fldCharType="begin"/>
            </w:r>
            <w:r w:rsidR="009C1A45">
              <w:rPr>
                <w:noProof/>
                <w:webHidden/>
              </w:rPr>
              <w:instrText xml:space="preserve"> PAGEREF _Toc414568040 \h </w:instrText>
            </w:r>
            <w:r w:rsidR="009C1A45">
              <w:rPr>
                <w:noProof/>
                <w:webHidden/>
              </w:rPr>
            </w:r>
            <w:r w:rsidR="009C1A45">
              <w:rPr>
                <w:noProof/>
                <w:webHidden/>
              </w:rPr>
              <w:fldChar w:fldCharType="separate"/>
            </w:r>
            <w:r>
              <w:rPr>
                <w:noProof/>
                <w:webHidden/>
              </w:rPr>
              <w:t>21</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41" w:history="1">
            <w:r w:rsidR="009C1A45" w:rsidRPr="009F7D92">
              <w:rPr>
                <w:rStyle w:val="Hyperlink"/>
                <w:noProof/>
              </w:rPr>
              <w:t>1.</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Seven Key Principles</w:t>
            </w:r>
            <w:r w:rsidR="009C1A45">
              <w:rPr>
                <w:noProof/>
                <w:webHidden/>
              </w:rPr>
              <w:tab/>
            </w:r>
            <w:r w:rsidR="009C1A45">
              <w:rPr>
                <w:noProof/>
                <w:webHidden/>
              </w:rPr>
              <w:fldChar w:fldCharType="begin"/>
            </w:r>
            <w:r w:rsidR="009C1A45">
              <w:rPr>
                <w:noProof/>
                <w:webHidden/>
              </w:rPr>
              <w:instrText xml:space="preserve"> PAGEREF _Toc414568041 \h </w:instrText>
            </w:r>
            <w:r w:rsidR="009C1A45">
              <w:rPr>
                <w:noProof/>
                <w:webHidden/>
              </w:rPr>
            </w:r>
            <w:r w:rsidR="009C1A45">
              <w:rPr>
                <w:noProof/>
                <w:webHidden/>
              </w:rPr>
              <w:fldChar w:fldCharType="separate"/>
            </w:r>
            <w:r>
              <w:rPr>
                <w:noProof/>
                <w:webHidden/>
              </w:rPr>
              <w:t>21</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42" w:history="1">
            <w:r w:rsidR="009C1A45" w:rsidRPr="009F7D92">
              <w:rPr>
                <w:rStyle w:val="Hyperlink"/>
                <w:noProof/>
              </w:rPr>
              <w:t>2.</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Accountability</w:t>
            </w:r>
            <w:r w:rsidR="009C1A45">
              <w:rPr>
                <w:noProof/>
                <w:webHidden/>
              </w:rPr>
              <w:tab/>
            </w:r>
            <w:r w:rsidR="009C1A45">
              <w:rPr>
                <w:noProof/>
                <w:webHidden/>
              </w:rPr>
              <w:fldChar w:fldCharType="begin"/>
            </w:r>
            <w:r w:rsidR="009C1A45">
              <w:rPr>
                <w:noProof/>
                <w:webHidden/>
              </w:rPr>
              <w:instrText xml:space="preserve"> PAGEREF _Toc414568042 \h </w:instrText>
            </w:r>
            <w:r w:rsidR="009C1A45">
              <w:rPr>
                <w:noProof/>
                <w:webHidden/>
              </w:rPr>
            </w:r>
            <w:r w:rsidR="009C1A45">
              <w:rPr>
                <w:noProof/>
                <w:webHidden/>
              </w:rPr>
              <w:fldChar w:fldCharType="separate"/>
            </w:r>
            <w:r>
              <w:rPr>
                <w:noProof/>
                <w:webHidden/>
              </w:rPr>
              <w:t>24</w:t>
            </w:r>
            <w:r w:rsidR="009C1A45">
              <w:rPr>
                <w:noProof/>
                <w:webHidden/>
              </w:rPr>
              <w:fldChar w:fldCharType="end"/>
            </w:r>
          </w:hyperlink>
        </w:p>
        <w:p w:rsidR="009C1A45" w:rsidRDefault="0072371B">
          <w:pPr>
            <w:pStyle w:val="TOC2"/>
            <w:tabs>
              <w:tab w:val="left" w:pos="880"/>
              <w:tab w:val="right" w:leader="dot" w:pos="9202"/>
            </w:tabs>
            <w:rPr>
              <w:rFonts w:asciiTheme="minorHAnsi" w:eastAsiaTheme="minorEastAsia" w:hAnsiTheme="minorHAnsi" w:cstheme="minorBidi"/>
              <w:bCs w:val="0"/>
              <w:noProof/>
              <w:sz w:val="22"/>
              <w:szCs w:val="22"/>
              <w:lang w:eastAsia="en-GB"/>
            </w:rPr>
          </w:pPr>
          <w:hyperlink w:anchor="_Toc414568043" w:history="1">
            <w:r w:rsidR="009C1A45" w:rsidRPr="009F7D92">
              <w:rPr>
                <w:rStyle w:val="Hyperlink"/>
                <w:noProof/>
              </w:rPr>
              <w:t>2.1.</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Involvement of multiple commissioners</w:t>
            </w:r>
            <w:r w:rsidR="009C1A45">
              <w:rPr>
                <w:noProof/>
                <w:webHidden/>
              </w:rPr>
              <w:tab/>
            </w:r>
            <w:r w:rsidR="009C1A45">
              <w:rPr>
                <w:noProof/>
                <w:webHidden/>
              </w:rPr>
              <w:fldChar w:fldCharType="begin"/>
            </w:r>
            <w:r w:rsidR="009C1A45">
              <w:rPr>
                <w:noProof/>
                <w:webHidden/>
              </w:rPr>
              <w:instrText xml:space="preserve"> PAGEREF _Toc414568043 \h </w:instrText>
            </w:r>
            <w:r w:rsidR="009C1A45">
              <w:rPr>
                <w:noProof/>
                <w:webHidden/>
              </w:rPr>
            </w:r>
            <w:r w:rsidR="009C1A45">
              <w:rPr>
                <w:noProof/>
                <w:webHidden/>
              </w:rPr>
              <w:fldChar w:fldCharType="separate"/>
            </w:r>
            <w:r>
              <w:rPr>
                <w:noProof/>
                <w:webHidden/>
              </w:rPr>
              <w:t>24</w:t>
            </w:r>
            <w:r w:rsidR="009C1A45">
              <w:rPr>
                <w:noProof/>
                <w:webHidden/>
              </w:rPr>
              <w:fldChar w:fldCharType="end"/>
            </w:r>
          </w:hyperlink>
        </w:p>
        <w:p w:rsidR="009C1A45" w:rsidRDefault="0072371B">
          <w:pPr>
            <w:pStyle w:val="TOC2"/>
            <w:tabs>
              <w:tab w:val="left" w:pos="880"/>
              <w:tab w:val="right" w:leader="dot" w:pos="9202"/>
            </w:tabs>
            <w:rPr>
              <w:rFonts w:asciiTheme="minorHAnsi" w:eastAsiaTheme="minorEastAsia" w:hAnsiTheme="minorHAnsi" w:cstheme="minorBidi"/>
              <w:bCs w:val="0"/>
              <w:noProof/>
              <w:sz w:val="22"/>
              <w:szCs w:val="22"/>
              <w:lang w:eastAsia="en-GB"/>
            </w:rPr>
          </w:pPr>
          <w:hyperlink w:anchor="_Toc414568044" w:history="1">
            <w:r w:rsidR="009C1A45" w:rsidRPr="009F7D92">
              <w:rPr>
                <w:rStyle w:val="Hyperlink"/>
                <w:noProof/>
              </w:rPr>
              <w:t>2.2.</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Involvement of multiple providers</w:t>
            </w:r>
            <w:r w:rsidR="009C1A45">
              <w:rPr>
                <w:noProof/>
                <w:webHidden/>
              </w:rPr>
              <w:tab/>
            </w:r>
            <w:r w:rsidR="009C1A45">
              <w:rPr>
                <w:noProof/>
                <w:webHidden/>
              </w:rPr>
              <w:fldChar w:fldCharType="begin"/>
            </w:r>
            <w:r w:rsidR="009C1A45">
              <w:rPr>
                <w:noProof/>
                <w:webHidden/>
              </w:rPr>
              <w:instrText xml:space="preserve"> PAGEREF _Toc414568044 \h </w:instrText>
            </w:r>
            <w:r w:rsidR="009C1A45">
              <w:rPr>
                <w:noProof/>
                <w:webHidden/>
              </w:rPr>
            </w:r>
            <w:r w:rsidR="009C1A45">
              <w:rPr>
                <w:noProof/>
                <w:webHidden/>
              </w:rPr>
              <w:fldChar w:fldCharType="separate"/>
            </w:r>
            <w:r>
              <w:rPr>
                <w:noProof/>
                <w:webHidden/>
              </w:rPr>
              <w:t>25</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45" w:history="1">
            <w:r w:rsidR="009C1A45" w:rsidRPr="009F7D92">
              <w:rPr>
                <w:rStyle w:val="Hyperlink"/>
                <w:noProof/>
              </w:rPr>
              <w:t>3.</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Roles and Responsibilities for Managing Serious Incident</w:t>
            </w:r>
            <w:r w:rsidR="009C1A45">
              <w:rPr>
                <w:noProof/>
                <w:webHidden/>
              </w:rPr>
              <w:tab/>
            </w:r>
            <w:r w:rsidR="009C1A45">
              <w:rPr>
                <w:noProof/>
                <w:webHidden/>
              </w:rPr>
              <w:fldChar w:fldCharType="begin"/>
            </w:r>
            <w:r w:rsidR="009C1A45">
              <w:rPr>
                <w:noProof/>
                <w:webHidden/>
              </w:rPr>
              <w:instrText xml:space="preserve"> PAGEREF _Toc414568045 \h </w:instrText>
            </w:r>
            <w:r w:rsidR="009C1A45">
              <w:rPr>
                <w:noProof/>
                <w:webHidden/>
              </w:rPr>
            </w:r>
            <w:r w:rsidR="009C1A45">
              <w:rPr>
                <w:noProof/>
                <w:webHidden/>
              </w:rPr>
              <w:fldChar w:fldCharType="separate"/>
            </w:r>
            <w:r>
              <w:rPr>
                <w:noProof/>
                <w:webHidden/>
              </w:rPr>
              <w:t>26</w:t>
            </w:r>
            <w:r w:rsidR="009C1A45">
              <w:rPr>
                <w:noProof/>
                <w:webHidden/>
              </w:rPr>
              <w:fldChar w:fldCharType="end"/>
            </w:r>
          </w:hyperlink>
        </w:p>
        <w:p w:rsidR="009C1A45" w:rsidRDefault="0072371B">
          <w:pPr>
            <w:pStyle w:val="TOC2"/>
            <w:tabs>
              <w:tab w:val="left" w:pos="880"/>
              <w:tab w:val="right" w:leader="dot" w:pos="9202"/>
            </w:tabs>
            <w:rPr>
              <w:rFonts w:asciiTheme="minorHAnsi" w:eastAsiaTheme="minorEastAsia" w:hAnsiTheme="minorHAnsi" w:cstheme="minorBidi"/>
              <w:bCs w:val="0"/>
              <w:noProof/>
              <w:sz w:val="22"/>
              <w:szCs w:val="22"/>
              <w:lang w:eastAsia="en-GB"/>
            </w:rPr>
          </w:pPr>
          <w:hyperlink w:anchor="_Toc414568046" w:history="1">
            <w:r w:rsidR="009C1A45" w:rsidRPr="009F7D92">
              <w:rPr>
                <w:rStyle w:val="Hyperlink"/>
                <w:noProof/>
              </w:rPr>
              <w:t>3.1.</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Providers of NHS-funded care</w:t>
            </w:r>
            <w:r w:rsidR="009C1A45">
              <w:rPr>
                <w:noProof/>
                <w:webHidden/>
              </w:rPr>
              <w:tab/>
            </w:r>
            <w:r w:rsidR="009C1A45">
              <w:rPr>
                <w:noProof/>
                <w:webHidden/>
              </w:rPr>
              <w:fldChar w:fldCharType="begin"/>
            </w:r>
            <w:r w:rsidR="009C1A45">
              <w:rPr>
                <w:noProof/>
                <w:webHidden/>
              </w:rPr>
              <w:instrText xml:space="preserve"> PAGEREF _Toc414568046 \h </w:instrText>
            </w:r>
            <w:r w:rsidR="009C1A45">
              <w:rPr>
                <w:noProof/>
                <w:webHidden/>
              </w:rPr>
            </w:r>
            <w:r w:rsidR="009C1A45">
              <w:rPr>
                <w:noProof/>
                <w:webHidden/>
              </w:rPr>
              <w:fldChar w:fldCharType="separate"/>
            </w:r>
            <w:r>
              <w:rPr>
                <w:noProof/>
                <w:webHidden/>
              </w:rPr>
              <w:t>26</w:t>
            </w:r>
            <w:r w:rsidR="009C1A45">
              <w:rPr>
                <w:noProof/>
                <w:webHidden/>
              </w:rPr>
              <w:fldChar w:fldCharType="end"/>
            </w:r>
          </w:hyperlink>
        </w:p>
        <w:p w:rsidR="009C1A45" w:rsidRDefault="0072371B">
          <w:pPr>
            <w:pStyle w:val="TOC2"/>
            <w:tabs>
              <w:tab w:val="left" w:pos="880"/>
              <w:tab w:val="right" w:leader="dot" w:pos="9202"/>
            </w:tabs>
            <w:rPr>
              <w:rFonts w:asciiTheme="minorHAnsi" w:eastAsiaTheme="minorEastAsia" w:hAnsiTheme="minorHAnsi" w:cstheme="minorBidi"/>
              <w:bCs w:val="0"/>
              <w:noProof/>
              <w:sz w:val="22"/>
              <w:szCs w:val="22"/>
              <w:lang w:eastAsia="en-GB"/>
            </w:rPr>
          </w:pPr>
          <w:hyperlink w:anchor="_Toc414568047" w:history="1">
            <w:r w:rsidR="009C1A45" w:rsidRPr="009F7D92">
              <w:rPr>
                <w:rStyle w:val="Hyperlink"/>
                <w:noProof/>
              </w:rPr>
              <w:t>3.2.</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Commissioners of NHS- funded care</w:t>
            </w:r>
            <w:r w:rsidR="009C1A45">
              <w:rPr>
                <w:noProof/>
                <w:webHidden/>
              </w:rPr>
              <w:tab/>
            </w:r>
            <w:r w:rsidR="009C1A45">
              <w:rPr>
                <w:noProof/>
                <w:webHidden/>
              </w:rPr>
              <w:fldChar w:fldCharType="begin"/>
            </w:r>
            <w:r w:rsidR="009C1A45">
              <w:rPr>
                <w:noProof/>
                <w:webHidden/>
              </w:rPr>
              <w:instrText xml:space="preserve"> PAGEREF _Toc414568047 \h </w:instrText>
            </w:r>
            <w:r w:rsidR="009C1A45">
              <w:rPr>
                <w:noProof/>
                <w:webHidden/>
              </w:rPr>
            </w:r>
            <w:r w:rsidR="009C1A45">
              <w:rPr>
                <w:noProof/>
                <w:webHidden/>
              </w:rPr>
              <w:fldChar w:fldCharType="separate"/>
            </w:r>
            <w:r>
              <w:rPr>
                <w:noProof/>
                <w:webHidden/>
              </w:rPr>
              <w:t>27</w:t>
            </w:r>
            <w:r w:rsidR="009C1A45">
              <w:rPr>
                <w:noProof/>
                <w:webHidden/>
              </w:rPr>
              <w:fldChar w:fldCharType="end"/>
            </w:r>
          </w:hyperlink>
        </w:p>
        <w:p w:rsidR="009C1A45" w:rsidRDefault="0072371B">
          <w:pPr>
            <w:pStyle w:val="TOC2"/>
            <w:tabs>
              <w:tab w:val="left" w:pos="880"/>
              <w:tab w:val="right" w:leader="dot" w:pos="9202"/>
            </w:tabs>
            <w:rPr>
              <w:rFonts w:asciiTheme="minorHAnsi" w:eastAsiaTheme="minorEastAsia" w:hAnsiTheme="minorHAnsi" w:cstheme="minorBidi"/>
              <w:bCs w:val="0"/>
              <w:noProof/>
              <w:sz w:val="22"/>
              <w:szCs w:val="22"/>
              <w:lang w:eastAsia="en-GB"/>
            </w:rPr>
          </w:pPr>
          <w:hyperlink w:anchor="_Toc414568048" w:history="1">
            <w:r w:rsidR="009C1A45" w:rsidRPr="009F7D92">
              <w:rPr>
                <w:rStyle w:val="Hyperlink"/>
                <w:noProof/>
              </w:rPr>
              <w:t>3.3.</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NHS England</w:t>
            </w:r>
            <w:r w:rsidR="009C1A45">
              <w:rPr>
                <w:noProof/>
                <w:webHidden/>
              </w:rPr>
              <w:tab/>
            </w:r>
            <w:r w:rsidR="009C1A45">
              <w:rPr>
                <w:noProof/>
                <w:webHidden/>
              </w:rPr>
              <w:fldChar w:fldCharType="begin"/>
            </w:r>
            <w:r w:rsidR="009C1A45">
              <w:rPr>
                <w:noProof/>
                <w:webHidden/>
              </w:rPr>
              <w:instrText xml:space="preserve"> PAGEREF _Toc414568048 \h </w:instrText>
            </w:r>
            <w:r w:rsidR="009C1A45">
              <w:rPr>
                <w:noProof/>
                <w:webHidden/>
              </w:rPr>
            </w:r>
            <w:r w:rsidR="009C1A45">
              <w:rPr>
                <w:noProof/>
                <w:webHidden/>
              </w:rPr>
              <w:fldChar w:fldCharType="separate"/>
            </w:r>
            <w:r>
              <w:rPr>
                <w:noProof/>
                <w:webHidden/>
              </w:rPr>
              <w:t>29</w:t>
            </w:r>
            <w:r w:rsidR="009C1A45">
              <w:rPr>
                <w:noProof/>
                <w:webHidden/>
              </w:rPr>
              <w:fldChar w:fldCharType="end"/>
            </w:r>
          </w:hyperlink>
        </w:p>
        <w:p w:rsidR="009C1A45" w:rsidRDefault="0072371B">
          <w:pPr>
            <w:pStyle w:val="TOC3"/>
            <w:tabs>
              <w:tab w:val="right" w:leader="dot" w:pos="9202"/>
            </w:tabs>
            <w:rPr>
              <w:rFonts w:asciiTheme="minorHAnsi" w:eastAsiaTheme="minorEastAsia" w:hAnsiTheme="minorHAnsi" w:cstheme="minorBidi"/>
              <w:bCs w:val="0"/>
              <w:noProof/>
              <w:sz w:val="22"/>
              <w:szCs w:val="22"/>
              <w:lang w:eastAsia="en-GB"/>
            </w:rPr>
          </w:pPr>
          <w:hyperlink w:anchor="_Toc414568049" w:history="1">
            <w:r w:rsidR="009C1A45" w:rsidRPr="009F7D92">
              <w:rPr>
                <w:rStyle w:val="Hyperlink"/>
                <w:noProof/>
              </w:rPr>
              <w:t>3.3.1. Care Quality Commission (CQC)</w:t>
            </w:r>
            <w:r w:rsidR="009C1A45">
              <w:rPr>
                <w:noProof/>
                <w:webHidden/>
              </w:rPr>
              <w:tab/>
            </w:r>
            <w:r w:rsidR="009C1A45">
              <w:rPr>
                <w:noProof/>
                <w:webHidden/>
              </w:rPr>
              <w:fldChar w:fldCharType="begin"/>
            </w:r>
            <w:r w:rsidR="009C1A45">
              <w:rPr>
                <w:noProof/>
                <w:webHidden/>
              </w:rPr>
              <w:instrText xml:space="preserve"> PAGEREF _Toc414568049 \h </w:instrText>
            </w:r>
            <w:r w:rsidR="009C1A45">
              <w:rPr>
                <w:noProof/>
                <w:webHidden/>
              </w:rPr>
            </w:r>
            <w:r w:rsidR="009C1A45">
              <w:rPr>
                <w:noProof/>
                <w:webHidden/>
              </w:rPr>
              <w:fldChar w:fldCharType="separate"/>
            </w:r>
            <w:r>
              <w:rPr>
                <w:noProof/>
                <w:webHidden/>
              </w:rPr>
              <w:t>29</w:t>
            </w:r>
            <w:r w:rsidR="009C1A45">
              <w:rPr>
                <w:noProof/>
                <w:webHidden/>
              </w:rPr>
              <w:fldChar w:fldCharType="end"/>
            </w:r>
          </w:hyperlink>
        </w:p>
        <w:p w:rsidR="009C1A45" w:rsidRDefault="0072371B">
          <w:pPr>
            <w:pStyle w:val="TOC3"/>
            <w:tabs>
              <w:tab w:val="right" w:leader="dot" w:pos="9202"/>
            </w:tabs>
            <w:rPr>
              <w:rFonts w:asciiTheme="minorHAnsi" w:eastAsiaTheme="minorEastAsia" w:hAnsiTheme="minorHAnsi" w:cstheme="minorBidi"/>
              <w:bCs w:val="0"/>
              <w:noProof/>
              <w:sz w:val="22"/>
              <w:szCs w:val="22"/>
              <w:lang w:eastAsia="en-GB"/>
            </w:rPr>
          </w:pPr>
          <w:hyperlink w:anchor="_Toc414568050" w:history="1">
            <w:r w:rsidR="009C1A45" w:rsidRPr="009F7D92">
              <w:rPr>
                <w:rStyle w:val="Hyperlink"/>
                <w:noProof/>
              </w:rPr>
              <w:t>3.3.2. Monitor</w:t>
            </w:r>
            <w:r w:rsidR="009C1A45">
              <w:rPr>
                <w:noProof/>
                <w:webHidden/>
              </w:rPr>
              <w:tab/>
            </w:r>
            <w:r w:rsidR="009C1A45">
              <w:rPr>
                <w:noProof/>
                <w:webHidden/>
              </w:rPr>
              <w:fldChar w:fldCharType="begin"/>
            </w:r>
            <w:r w:rsidR="009C1A45">
              <w:rPr>
                <w:noProof/>
                <w:webHidden/>
              </w:rPr>
              <w:instrText xml:space="preserve"> PAGEREF _Toc414568050 \h </w:instrText>
            </w:r>
            <w:r w:rsidR="009C1A45">
              <w:rPr>
                <w:noProof/>
                <w:webHidden/>
              </w:rPr>
            </w:r>
            <w:r w:rsidR="009C1A45">
              <w:rPr>
                <w:noProof/>
                <w:webHidden/>
              </w:rPr>
              <w:fldChar w:fldCharType="separate"/>
            </w:r>
            <w:r>
              <w:rPr>
                <w:noProof/>
                <w:webHidden/>
              </w:rPr>
              <w:t>29</w:t>
            </w:r>
            <w:r w:rsidR="009C1A45">
              <w:rPr>
                <w:noProof/>
                <w:webHidden/>
              </w:rPr>
              <w:fldChar w:fldCharType="end"/>
            </w:r>
          </w:hyperlink>
        </w:p>
        <w:p w:rsidR="009C1A45" w:rsidRDefault="0072371B">
          <w:pPr>
            <w:pStyle w:val="TOC3"/>
            <w:tabs>
              <w:tab w:val="left" w:pos="1320"/>
              <w:tab w:val="right" w:leader="dot" w:pos="9202"/>
            </w:tabs>
            <w:rPr>
              <w:rStyle w:val="Hyperlink"/>
              <w:noProof/>
            </w:rPr>
          </w:pPr>
          <w:hyperlink w:anchor="_Toc414568051" w:history="1">
            <w:r w:rsidR="009C1A45">
              <w:rPr>
                <w:rStyle w:val="Hyperlink"/>
                <w:noProof/>
              </w:rPr>
              <w:t>3.3.3</w:t>
            </w:r>
            <w:r w:rsidR="009C1A45" w:rsidRPr="009F7D92">
              <w:rPr>
                <w:rStyle w:val="Hyperlink"/>
                <w:noProof/>
              </w:rPr>
              <w:t>.</w:t>
            </w:r>
            <w:r w:rsidR="009C1A45">
              <w:rPr>
                <w:rFonts w:asciiTheme="minorHAnsi" w:eastAsiaTheme="minorEastAsia" w:hAnsiTheme="minorHAnsi" w:cstheme="minorBidi"/>
                <w:bCs w:val="0"/>
                <w:noProof/>
                <w:sz w:val="22"/>
                <w:szCs w:val="22"/>
                <w:lang w:eastAsia="en-GB"/>
              </w:rPr>
              <w:t xml:space="preserve"> </w:t>
            </w:r>
            <w:r w:rsidR="009C1A45" w:rsidRPr="009F7D92">
              <w:rPr>
                <w:rStyle w:val="Hyperlink"/>
                <w:noProof/>
              </w:rPr>
              <w:t>NHS Trust Development Authority (TDA)</w:t>
            </w:r>
            <w:r w:rsidR="009C1A45">
              <w:rPr>
                <w:noProof/>
                <w:webHidden/>
              </w:rPr>
              <w:tab/>
            </w:r>
            <w:r w:rsidR="009C1A45">
              <w:rPr>
                <w:noProof/>
                <w:webHidden/>
              </w:rPr>
              <w:fldChar w:fldCharType="begin"/>
            </w:r>
            <w:r w:rsidR="009C1A45">
              <w:rPr>
                <w:noProof/>
                <w:webHidden/>
              </w:rPr>
              <w:instrText xml:space="preserve"> PAGEREF _Toc414568051 \h </w:instrText>
            </w:r>
            <w:r w:rsidR="009C1A45">
              <w:rPr>
                <w:noProof/>
                <w:webHidden/>
              </w:rPr>
            </w:r>
            <w:r w:rsidR="009C1A45">
              <w:rPr>
                <w:noProof/>
                <w:webHidden/>
              </w:rPr>
              <w:fldChar w:fldCharType="separate"/>
            </w:r>
            <w:r>
              <w:rPr>
                <w:noProof/>
                <w:webHidden/>
              </w:rPr>
              <w:t>30</w:t>
            </w:r>
            <w:r w:rsidR="009C1A45">
              <w:rPr>
                <w:noProof/>
                <w:webHidden/>
              </w:rPr>
              <w:fldChar w:fldCharType="end"/>
            </w:r>
          </w:hyperlink>
        </w:p>
        <w:p w:rsidR="009C1A45" w:rsidRPr="009C1A45" w:rsidRDefault="009C1A45" w:rsidP="009C1A45">
          <w:pPr>
            <w:rPr>
              <w:rFonts w:eastAsiaTheme="minorEastAsia"/>
              <w:noProof/>
            </w:rPr>
          </w:pPr>
        </w:p>
        <w:p w:rsidR="009C1A45" w:rsidRDefault="0072371B">
          <w:pPr>
            <w:pStyle w:val="TOC1"/>
            <w:rPr>
              <w:rFonts w:asciiTheme="minorHAnsi" w:eastAsiaTheme="minorEastAsia" w:hAnsiTheme="minorHAnsi" w:cstheme="minorBidi"/>
              <w:bCs w:val="0"/>
              <w:noProof/>
              <w:sz w:val="22"/>
              <w:szCs w:val="22"/>
              <w:lang w:eastAsia="en-GB"/>
            </w:rPr>
          </w:pPr>
          <w:hyperlink w:anchor="_Toc414568052" w:history="1">
            <w:r w:rsidR="009C1A45" w:rsidRPr="00356FCB">
              <w:rPr>
                <w:rStyle w:val="Hyperlink"/>
                <w:b/>
                <w:noProof/>
              </w:rPr>
              <w:t>Part Three: The Serious Incident Management Process</w:t>
            </w:r>
            <w:r w:rsidR="009C1A45">
              <w:rPr>
                <w:noProof/>
                <w:webHidden/>
              </w:rPr>
              <w:tab/>
            </w:r>
            <w:r w:rsidR="009C1A45">
              <w:rPr>
                <w:noProof/>
                <w:webHidden/>
              </w:rPr>
              <w:fldChar w:fldCharType="begin"/>
            </w:r>
            <w:r w:rsidR="009C1A45">
              <w:rPr>
                <w:noProof/>
                <w:webHidden/>
              </w:rPr>
              <w:instrText xml:space="preserve"> PAGEREF _Toc414568052 \h </w:instrText>
            </w:r>
            <w:r w:rsidR="009C1A45">
              <w:rPr>
                <w:noProof/>
                <w:webHidden/>
              </w:rPr>
            </w:r>
            <w:r w:rsidR="009C1A45">
              <w:rPr>
                <w:noProof/>
                <w:webHidden/>
              </w:rPr>
              <w:fldChar w:fldCharType="separate"/>
            </w:r>
            <w:r>
              <w:rPr>
                <w:noProof/>
                <w:webHidden/>
              </w:rPr>
              <w:t>31</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53" w:history="1">
            <w:r w:rsidR="009C1A45" w:rsidRPr="009F7D92">
              <w:rPr>
                <w:rStyle w:val="Hyperlink"/>
                <w:noProof/>
              </w:rPr>
              <w:t>1.</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Overview of the Serious Incident Management Process</w:t>
            </w:r>
            <w:r w:rsidR="009C1A45">
              <w:rPr>
                <w:noProof/>
                <w:webHidden/>
              </w:rPr>
              <w:tab/>
            </w:r>
            <w:r w:rsidR="009C1A45">
              <w:rPr>
                <w:noProof/>
                <w:webHidden/>
              </w:rPr>
              <w:fldChar w:fldCharType="begin"/>
            </w:r>
            <w:r w:rsidR="009C1A45">
              <w:rPr>
                <w:noProof/>
                <w:webHidden/>
              </w:rPr>
              <w:instrText xml:space="preserve"> PAGEREF _Toc414568053 \h </w:instrText>
            </w:r>
            <w:r w:rsidR="009C1A45">
              <w:rPr>
                <w:noProof/>
                <w:webHidden/>
              </w:rPr>
            </w:r>
            <w:r w:rsidR="009C1A45">
              <w:rPr>
                <w:noProof/>
                <w:webHidden/>
              </w:rPr>
              <w:fldChar w:fldCharType="separate"/>
            </w:r>
            <w:r>
              <w:rPr>
                <w:noProof/>
                <w:webHidden/>
              </w:rPr>
              <w:t>31</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55" w:history="1">
            <w:r w:rsidR="009C1A45" w:rsidRPr="009F7D92">
              <w:rPr>
                <w:rStyle w:val="Hyperlink"/>
                <w:noProof/>
              </w:rPr>
              <w:t>2.</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Identification and immediate action</w:t>
            </w:r>
            <w:r w:rsidR="009C1A45">
              <w:rPr>
                <w:noProof/>
                <w:webHidden/>
              </w:rPr>
              <w:tab/>
            </w:r>
            <w:r w:rsidR="009C1A45">
              <w:rPr>
                <w:noProof/>
                <w:webHidden/>
              </w:rPr>
              <w:fldChar w:fldCharType="begin"/>
            </w:r>
            <w:r w:rsidR="009C1A45">
              <w:rPr>
                <w:noProof/>
                <w:webHidden/>
              </w:rPr>
              <w:instrText xml:space="preserve"> PAGEREF _Toc414568055 \h </w:instrText>
            </w:r>
            <w:r w:rsidR="009C1A45">
              <w:rPr>
                <w:noProof/>
                <w:webHidden/>
              </w:rPr>
            </w:r>
            <w:r w:rsidR="009C1A45">
              <w:rPr>
                <w:noProof/>
                <w:webHidden/>
              </w:rPr>
              <w:fldChar w:fldCharType="separate"/>
            </w:r>
            <w:r>
              <w:rPr>
                <w:noProof/>
                <w:webHidden/>
              </w:rPr>
              <w:t>32</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56" w:history="1">
            <w:r w:rsidR="009C1A45" w:rsidRPr="009F7D92">
              <w:rPr>
                <w:rStyle w:val="Hyperlink"/>
                <w:noProof/>
              </w:rPr>
              <w:t>3.</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Reporting a Serious Incident</w:t>
            </w:r>
            <w:r w:rsidR="009C1A45">
              <w:rPr>
                <w:noProof/>
                <w:webHidden/>
              </w:rPr>
              <w:tab/>
            </w:r>
            <w:r w:rsidR="009C1A45">
              <w:rPr>
                <w:noProof/>
                <w:webHidden/>
              </w:rPr>
              <w:fldChar w:fldCharType="begin"/>
            </w:r>
            <w:r w:rsidR="009C1A45">
              <w:rPr>
                <w:noProof/>
                <w:webHidden/>
              </w:rPr>
              <w:instrText xml:space="preserve"> PAGEREF _Toc414568056 \h </w:instrText>
            </w:r>
            <w:r w:rsidR="009C1A45">
              <w:rPr>
                <w:noProof/>
                <w:webHidden/>
              </w:rPr>
            </w:r>
            <w:r w:rsidR="009C1A45">
              <w:rPr>
                <w:noProof/>
                <w:webHidden/>
              </w:rPr>
              <w:fldChar w:fldCharType="separate"/>
            </w:r>
            <w:r>
              <w:rPr>
                <w:noProof/>
                <w:webHidden/>
              </w:rPr>
              <w:t>33</w:t>
            </w:r>
            <w:r w:rsidR="009C1A45">
              <w:rPr>
                <w:noProof/>
                <w:webHidden/>
              </w:rPr>
              <w:fldChar w:fldCharType="end"/>
            </w:r>
          </w:hyperlink>
        </w:p>
        <w:p w:rsidR="009C1A45" w:rsidRDefault="0072371B">
          <w:pPr>
            <w:pStyle w:val="TOC2"/>
            <w:tabs>
              <w:tab w:val="left" w:pos="880"/>
              <w:tab w:val="right" w:leader="dot" w:pos="9202"/>
            </w:tabs>
            <w:rPr>
              <w:rFonts w:asciiTheme="minorHAnsi" w:eastAsiaTheme="minorEastAsia" w:hAnsiTheme="minorHAnsi" w:cstheme="minorBidi"/>
              <w:bCs w:val="0"/>
              <w:noProof/>
              <w:sz w:val="22"/>
              <w:szCs w:val="22"/>
              <w:lang w:eastAsia="en-GB"/>
            </w:rPr>
          </w:pPr>
          <w:hyperlink w:anchor="_Toc414568057" w:history="1">
            <w:r w:rsidR="009C1A45" w:rsidRPr="009F7D92">
              <w:rPr>
                <w:rStyle w:val="Hyperlink"/>
                <w:noProof/>
              </w:rPr>
              <w:t>3.1.</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Follow up information</w:t>
            </w:r>
            <w:r w:rsidR="009C1A45">
              <w:rPr>
                <w:noProof/>
                <w:webHidden/>
              </w:rPr>
              <w:tab/>
            </w:r>
            <w:r w:rsidR="009C1A45">
              <w:rPr>
                <w:noProof/>
                <w:webHidden/>
              </w:rPr>
              <w:fldChar w:fldCharType="begin"/>
            </w:r>
            <w:r w:rsidR="009C1A45">
              <w:rPr>
                <w:noProof/>
                <w:webHidden/>
              </w:rPr>
              <w:instrText xml:space="preserve"> PAGEREF _Toc414568057 \h </w:instrText>
            </w:r>
            <w:r w:rsidR="009C1A45">
              <w:rPr>
                <w:noProof/>
                <w:webHidden/>
              </w:rPr>
            </w:r>
            <w:r w:rsidR="009C1A45">
              <w:rPr>
                <w:noProof/>
                <w:webHidden/>
              </w:rPr>
              <w:fldChar w:fldCharType="separate"/>
            </w:r>
            <w:r>
              <w:rPr>
                <w:noProof/>
                <w:webHidden/>
              </w:rPr>
              <w:t>34</w:t>
            </w:r>
            <w:r w:rsidR="009C1A45">
              <w:rPr>
                <w:noProof/>
                <w:webHidden/>
              </w:rPr>
              <w:fldChar w:fldCharType="end"/>
            </w:r>
          </w:hyperlink>
        </w:p>
        <w:p w:rsidR="009C1A45" w:rsidRDefault="0072371B">
          <w:pPr>
            <w:pStyle w:val="TOC2"/>
            <w:tabs>
              <w:tab w:val="left" w:pos="880"/>
              <w:tab w:val="right" w:leader="dot" w:pos="9202"/>
            </w:tabs>
            <w:rPr>
              <w:rStyle w:val="Hyperlink"/>
              <w:noProof/>
            </w:rPr>
          </w:pPr>
          <w:hyperlink w:anchor="_Toc414568058" w:history="1">
            <w:r w:rsidR="009C1A45" w:rsidRPr="009F7D92">
              <w:rPr>
                <w:rStyle w:val="Hyperlink"/>
                <w:noProof/>
              </w:rPr>
              <w:t>3.2.</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Alerting the system: escalation and information sharing</w:t>
            </w:r>
            <w:r w:rsidR="009C1A45">
              <w:rPr>
                <w:noProof/>
                <w:webHidden/>
              </w:rPr>
              <w:tab/>
            </w:r>
            <w:r w:rsidR="009C1A45">
              <w:rPr>
                <w:noProof/>
                <w:webHidden/>
              </w:rPr>
              <w:fldChar w:fldCharType="begin"/>
            </w:r>
            <w:r w:rsidR="009C1A45">
              <w:rPr>
                <w:noProof/>
                <w:webHidden/>
              </w:rPr>
              <w:instrText xml:space="preserve"> PAGEREF _Toc414568058 \h </w:instrText>
            </w:r>
            <w:r w:rsidR="009C1A45">
              <w:rPr>
                <w:noProof/>
                <w:webHidden/>
              </w:rPr>
            </w:r>
            <w:r w:rsidR="009C1A45">
              <w:rPr>
                <w:noProof/>
                <w:webHidden/>
              </w:rPr>
              <w:fldChar w:fldCharType="separate"/>
            </w:r>
            <w:r>
              <w:rPr>
                <w:noProof/>
                <w:webHidden/>
              </w:rPr>
              <w:t>34</w:t>
            </w:r>
            <w:r w:rsidR="009C1A45">
              <w:rPr>
                <w:noProof/>
                <w:webHidden/>
              </w:rPr>
              <w:fldChar w:fldCharType="end"/>
            </w:r>
          </w:hyperlink>
        </w:p>
        <w:p w:rsidR="00356FCB" w:rsidRPr="00356FCB" w:rsidRDefault="00356FCB" w:rsidP="00356FCB">
          <w:pPr>
            <w:rPr>
              <w:rFonts w:eastAsiaTheme="minorEastAsia"/>
              <w:noProof/>
            </w:rPr>
          </w:pPr>
        </w:p>
        <w:p w:rsidR="009C1A45" w:rsidRDefault="0072371B">
          <w:pPr>
            <w:pStyle w:val="TOC1"/>
            <w:rPr>
              <w:rFonts w:asciiTheme="minorHAnsi" w:eastAsiaTheme="minorEastAsia" w:hAnsiTheme="minorHAnsi" w:cstheme="minorBidi"/>
              <w:bCs w:val="0"/>
              <w:noProof/>
              <w:sz w:val="22"/>
              <w:szCs w:val="22"/>
              <w:lang w:eastAsia="en-GB"/>
            </w:rPr>
          </w:pPr>
          <w:hyperlink w:anchor="_Toc414568059" w:history="1">
            <w:r w:rsidR="009C1A45" w:rsidRPr="009F7D92">
              <w:rPr>
                <w:rStyle w:val="Hyperlink"/>
                <w:noProof/>
              </w:rPr>
              <w:t>4.</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Overview of the investigation process</w:t>
            </w:r>
            <w:r w:rsidR="009C1A45">
              <w:rPr>
                <w:noProof/>
                <w:webHidden/>
              </w:rPr>
              <w:tab/>
            </w:r>
            <w:r w:rsidR="009C1A45">
              <w:rPr>
                <w:noProof/>
                <w:webHidden/>
              </w:rPr>
              <w:fldChar w:fldCharType="begin"/>
            </w:r>
            <w:r w:rsidR="009C1A45">
              <w:rPr>
                <w:noProof/>
                <w:webHidden/>
              </w:rPr>
              <w:instrText xml:space="preserve"> PAGEREF _Toc414568059 \h </w:instrText>
            </w:r>
            <w:r w:rsidR="009C1A45">
              <w:rPr>
                <w:noProof/>
                <w:webHidden/>
              </w:rPr>
            </w:r>
            <w:r w:rsidR="009C1A45">
              <w:rPr>
                <w:noProof/>
                <w:webHidden/>
              </w:rPr>
              <w:fldChar w:fldCharType="separate"/>
            </w:r>
            <w:r>
              <w:rPr>
                <w:noProof/>
                <w:webHidden/>
              </w:rPr>
              <w:t>36</w:t>
            </w:r>
            <w:r w:rsidR="009C1A45">
              <w:rPr>
                <w:noProof/>
                <w:webHidden/>
              </w:rPr>
              <w:fldChar w:fldCharType="end"/>
            </w:r>
          </w:hyperlink>
        </w:p>
        <w:p w:rsidR="009C1A45" w:rsidRDefault="0072371B">
          <w:pPr>
            <w:pStyle w:val="TOC2"/>
            <w:tabs>
              <w:tab w:val="left" w:pos="880"/>
              <w:tab w:val="right" w:leader="dot" w:pos="9202"/>
            </w:tabs>
            <w:rPr>
              <w:rFonts w:asciiTheme="minorHAnsi" w:eastAsiaTheme="minorEastAsia" w:hAnsiTheme="minorHAnsi" w:cstheme="minorBidi"/>
              <w:bCs w:val="0"/>
              <w:noProof/>
              <w:sz w:val="22"/>
              <w:szCs w:val="22"/>
              <w:lang w:eastAsia="en-GB"/>
            </w:rPr>
          </w:pPr>
          <w:hyperlink w:anchor="_Toc414568060" w:history="1">
            <w:r w:rsidR="009C1A45" w:rsidRPr="009F7D92">
              <w:rPr>
                <w:rStyle w:val="Hyperlink"/>
                <w:noProof/>
              </w:rPr>
              <w:t>4.1.</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Setting up the team</w:t>
            </w:r>
            <w:r w:rsidR="009C1A45">
              <w:rPr>
                <w:noProof/>
                <w:webHidden/>
              </w:rPr>
              <w:tab/>
            </w:r>
            <w:r w:rsidR="009C1A45">
              <w:rPr>
                <w:noProof/>
                <w:webHidden/>
              </w:rPr>
              <w:fldChar w:fldCharType="begin"/>
            </w:r>
            <w:r w:rsidR="009C1A45">
              <w:rPr>
                <w:noProof/>
                <w:webHidden/>
              </w:rPr>
              <w:instrText xml:space="preserve"> PAGEREF _Toc414568060 \h </w:instrText>
            </w:r>
            <w:r w:rsidR="009C1A45">
              <w:rPr>
                <w:noProof/>
                <w:webHidden/>
              </w:rPr>
            </w:r>
            <w:r w:rsidR="009C1A45">
              <w:rPr>
                <w:noProof/>
                <w:webHidden/>
              </w:rPr>
              <w:fldChar w:fldCharType="separate"/>
            </w:r>
            <w:r>
              <w:rPr>
                <w:noProof/>
                <w:webHidden/>
              </w:rPr>
              <w:t>37</w:t>
            </w:r>
            <w:r w:rsidR="009C1A45">
              <w:rPr>
                <w:noProof/>
                <w:webHidden/>
              </w:rPr>
              <w:fldChar w:fldCharType="end"/>
            </w:r>
          </w:hyperlink>
        </w:p>
        <w:p w:rsidR="009C1A45" w:rsidRDefault="0072371B">
          <w:pPr>
            <w:pStyle w:val="TOC2"/>
            <w:tabs>
              <w:tab w:val="left" w:pos="880"/>
              <w:tab w:val="right" w:leader="dot" w:pos="9202"/>
            </w:tabs>
            <w:rPr>
              <w:rFonts w:asciiTheme="minorHAnsi" w:eastAsiaTheme="minorEastAsia" w:hAnsiTheme="minorHAnsi" w:cstheme="minorBidi"/>
              <w:bCs w:val="0"/>
              <w:noProof/>
              <w:sz w:val="22"/>
              <w:szCs w:val="22"/>
              <w:lang w:eastAsia="en-GB"/>
            </w:rPr>
          </w:pPr>
          <w:hyperlink w:anchor="_Toc414568061" w:history="1">
            <w:r w:rsidR="009C1A45" w:rsidRPr="009F7D92">
              <w:rPr>
                <w:rStyle w:val="Hyperlink"/>
                <w:noProof/>
              </w:rPr>
              <w:t>4.2.</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Involving and supporting those affected</w:t>
            </w:r>
            <w:r w:rsidR="009C1A45">
              <w:rPr>
                <w:noProof/>
                <w:webHidden/>
              </w:rPr>
              <w:tab/>
            </w:r>
            <w:r w:rsidR="009C1A45">
              <w:rPr>
                <w:noProof/>
                <w:webHidden/>
              </w:rPr>
              <w:fldChar w:fldCharType="begin"/>
            </w:r>
            <w:r w:rsidR="009C1A45">
              <w:rPr>
                <w:noProof/>
                <w:webHidden/>
              </w:rPr>
              <w:instrText xml:space="preserve"> PAGEREF _Toc414568061 \h </w:instrText>
            </w:r>
            <w:r w:rsidR="009C1A45">
              <w:rPr>
                <w:noProof/>
                <w:webHidden/>
              </w:rPr>
            </w:r>
            <w:r w:rsidR="009C1A45">
              <w:rPr>
                <w:noProof/>
                <w:webHidden/>
              </w:rPr>
              <w:fldChar w:fldCharType="separate"/>
            </w:r>
            <w:r>
              <w:rPr>
                <w:noProof/>
                <w:webHidden/>
              </w:rPr>
              <w:t>37</w:t>
            </w:r>
            <w:r w:rsidR="009C1A45">
              <w:rPr>
                <w:noProof/>
                <w:webHidden/>
              </w:rPr>
              <w:fldChar w:fldCharType="end"/>
            </w:r>
          </w:hyperlink>
        </w:p>
        <w:p w:rsidR="009C1A45" w:rsidRDefault="0072371B">
          <w:pPr>
            <w:pStyle w:val="TOC3"/>
            <w:tabs>
              <w:tab w:val="left" w:pos="1320"/>
              <w:tab w:val="right" w:leader="dot" w:pos="9202"/>
            </w:tabs>
            <w:rPr>
              <w:rFonts w:asciiTheme="minorHAnsi" w:eastAsiaTheme="minorEastAsia" w:hAnsiTheme="minorHAnsi" w:cstheme="minorBidi"/>
              <w:bCs w:val="0"/>
              <w:noProof/>
              <w:sz w:val="22"/>
              <w:szCs w:val="22"/>
              <w:lang w:eastAsia="en-GB"/>
            </w:rPr>
          </w:pPr>
          <w:hyperlink w:anchor="_Toc414568062" w:history="1">
            <w:r w:rsidR="009C1A45" w:rsidRPr="009F7D92">
              <w:rPr>
                <w:rStyle w:val="Hyperlink"/>
                <w:noProof/>
              </w:rPr>
              <w:t>4.2.1.</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Involving patients, victims and their families/carers</w:t>
            </w:r>
            <w:r w:rsidR="009C1A45">
              <w:rPr>
                <w:noProof/>
                <w:webHidden/>
              </w:rPr>
              <w:tab/>
            </w:r>
            <w:r w:rsidR="009C1A45">
              <w:rPr>
                <w:noProof/>
                <w:webHidden/>
              </w:rPr>
              <w:fldChar w:fldCharType="begin"/>
            </w:r>
            <w:r w:rsidR="009C1A45">
              <w:rPr>
                <w:noProof/>
                <w:webHidden/>
              </w:rPr>
              <w:instrText xml:space="preserve"> PAGEREF _Toc414568062 \h </w:instrText>
            </w:r>
            <w:r w:rsidR="009C1A45">
              <w:rPr>
                <w:noProof/>
                <w:webHidden/>
              </w:rPr>
            </w:r>
            <w:r w:rsidR="009C1A45">
              <w:rPr>
                <w:noProof/>
                <w:webHidden/>
              </w:rPr>
              <w:fldChar w:fldCharType="separate"/>
            </w:r>
            <w:r>
              <w:rPr>
                <w:noProof/>
                <w:webHidden/>
              </w:rPr>
              <w:t>37</w:t>
            </w:r>
            <w:r w:rsidR="009C1A45">
              <w:rPr>
                <w:noProof/>
                <w:webHidden/>
              </w:rPr>
              <w:fldChar w:fldCharType="end"/>
            </w:r>
          </w:hyperlink>
        </w:p>
        <w:p w:rsidR="009C1A45" w:rsidRDefault="0072371B">
          <w:pPr>
            <w:pStyle w:val="TOC3"/>
            <w:tabs>
              <w:tab w:val="left" w:pos="1320"/>
              <w:tab w:val="right" w:leader="dot" w:pos="9202"/>
            </w:tabs>
            <w:rPr>
              <w:rFonts w:asciiTheme="minorHAnsi" w:eastAsiaTheme="minorEastAsia" w:hAnsiTheme="minorHAnsi" w:cstheme="minorBidi"/>
              <w:bCs w:val="0"/>
              <w:noProof/>
              <w:sz w:val="22"/>
              <w:szCs w:val="22"/>
              <w:lang w:eastAsia="en-GB"/>
            </w:rPr>
          </w:pPr>
          <w:hyperlink w:anchor="_Toc414568063" w:history="1">
            <w:r w:rsidR="009C1A45" w:rsidRPr="009F7D92">
              <w:rPr>
                <w:rStyle w:val="Hyperlink"/>
                <w:noProof/>
              </w:rPr>
              <w:t>4.2.2.</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Staff</w:t>
            </w:r>
            <w:r w:rsidR="009C1A45">
              <w:rPr>
                <w:noProof/>
                <w:webHidden/>
              </w:rPr>
              <w:tab/>
            </w:r>
            <w:r w:rsidR="009C1A45">
              <w:rPr>
                <w:noProof/>
                <w:webHidden/>
              </w:rPr>
              <w:fldChar w:fldCharType="begin"/>
            </w:r>
            <w:r w:rsidR="009C1A45">
              <w:rPr>
                <w:noProof/>
                <w:webHidden/>
              </w:rPr>
              <w:instrText xml:space="preserve"> PAGEREF _Toc414568063 \h </w:instrText>
            </w:r>
            <w:r w:rsidR="009C1A45">
              <w:rPr>
                <w:noProof/>
                <w:webHidden/>
              </w:rPr>
            </w:r>
            <w:r w:rsidR="009C1A45">
              <w:rPr>
                <w:noProof/>
                <w:webHidden/>
              </w:rPr>
              <w:fldChar w:fldCharType="separate"/>
            </w:r>
            <w:r>
              <w:rPr>
                <w:noProof/>
                <w:webHidden/>
              </w:rPr>
              <w:t>39</w:t>
            </w:r>
            <w:r w:rsidR="009C1A45">
              <w:rPr>
                <w:noProof/>
                <w:webHidden/>
              </w:rPr>
              <w:fldChar w:fldCharType="end"/>
            </w:r>
          </w:hyperlink>
        </w:p>
        <w:p w:rsidR="009C1A45" w:rsidRDefault="0072371B">
          <w:pPr>
            <w:pStyle w:val="TOC2"/>
            <w:tabs>
              <w:tab w:val="left" w:pos="880"/>
              <w:tab w:val="right" w:leader="dot" w:pos="9202"/>
            </w:tabs>
            <w:rPr>
              <w:rFonts w:asciiTheme="minorHAnsi" w:eastAsiaTheme="minorEastAsia" w:hAnsiTheme="minorHAnsi" w:cstheme="minorBidi"/>
              <w:bCs w:val="0"/>
              <w:noProof/>
              <w:sz w:val="22"/>
              <w:szCs w:val="22"/>
              <w:lang w:eastAsia="en-GB"/>
            </w:rPr>
          </w:pPr>
          <w:hyperlink w:anchor="_Toc414568064" w:history="1">
            <w:r w:rsidR="009C1A45" w:rsidRPr="009F7D92">
              <w:rPr>
                <w:rStyle w:val="Hyperlink"/>
                <w:noProof/>
              </w:rPr>
              <w:t>4.3.</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Agreeing the level/type of investigation</w:t>
            </w:r>
            <w:r w:rsidR="009C1A45">
              <w:rPr>
                <w:noProof/>
                <w:webHidden/>
              </w:rPr>
              <w:tab/>
            </w:r>
            <w:r w:rsidR="009C1A45">
              <w:rPr>
                <w:noProof/>
                <w:webHidden/>
              </w:rPr>
              <w:fldChar w:fldCharType="begin"/>
            </w:r>
            <w:r w:rsidR="009C1A45">
              <w:rPr>
                <w:noProof/>
                <w:webHidden/>
              </w:rPr>
              <w:instrText xml:space="preserve"> PAGEREF _Toc414568064 \h </w:instrText>
            </w:r>
            <w:r w:rsidR="009C1A45">
              <w:rPr>
                <w:noProof/>
                <w:webHidden/>
              </w:rPr>
            </w:r>
            <w:r w:rsidR="009C1A45">
              <w:rPr>
                <w:noProof/>
                <w:webHidden/>
              </w:rPr>
              <w:fldChar w:fldCharType="separate"/>
            </w:r>
            <w:r>
              <w:rPr>
                <w:noProof/>
                <w:webHidden/>
              </w:rPr>
              <w:t>39</w:t>
            </w:r>
            <w:r w:rsidR="009C1A45">
              <w:rPr>
                <w:noProof/>
                <w:webHidden/>
              </w:rPr>
              <w:fldChar w:fldCharType="end"/>
            </w:r>
          </w:hyperlink>
        </w:p>
        <w:p w:rsidR="009C1A45" w:rsidRDefault="0072371B">
          <w:pPr>
            <w:pStyle w:val="TOC2"/>
            <w:tabs>
              <w:tab w:val="left" w:pos="880"/>
              <w:tab w:val="right" w:leader="dot" w:pos="9202"/>
            </w:tabs>
            <w:rPr>
              <w:rFonts w:asciiTheme="minorHAnsi" w:eastAsiaTheme="minorEastAsia" w:hAnsiTheme="minorHAnsi" w:cstheme="minorBidi"/>
              <w:bCs w:val="0"/>
              <w:noProof/>
              <w:sz w:val="22"/>
              <w:szCs w:val="22"/>
              <w:lang w:eastAsia="en-GB"/>
            </w:rPr>
          </w:pPr>
          <w:hyperlink w:anchor="_Toc414568065" w:history="1">
            <w:r w:rsidR="009C1A45" w:rsidRPr="009F7D92">
              <w:rPr>
                <w:rStyle w:val="Hyperlink"/>
                <w:noProof/>
              </w:rPr>
              <w:t>4.4.</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Final report and action plan</w:t>
            </w:r>
            <w:r w:rsidR="009C1A45">
              <w:rPr>
                <w:noProof/>
                <w:webHidden/>
              </w:rPr>
              <w:tab/>
            </w:r>
            <w:r w:rsidR="009C1A45">
              <w:rPr>
                <w:noProof/>
                <w:webHidden/>
              </w:rPr>
              <w:fldChar w:fldCharType="begin"/>
            </w:r>
            <w:r w:rsidR="009C1A45">
              <w:rPr>
                <w:noProof/>
                <w:webHidden/>
              </w:rPr>
              <w:instrText xml:space="preserve"> PAGEREF _Toc414568065 \h </w:instrText>
            </w:r>
            <w:r w:rsidR="009C1A45">
              <w:rPr>
                <w:noProof/>
                <w:webHidden/>
              </w:rPr>
            </w:r>
            <w:r w:rsidR="009C1A45">
              <w:rPr>
                <w:noProof/>
                <w:webHidden/>
              </w:rPr>
              <w:fldChar w:fldCharType="separate"/>
            </w:r>
            <w:r>
              <w:rPr>
                <w:noProof/>
                <w:webHidden/>
              </w:rPr>
              <w:t>42</w:t>
            </w:r>
            <w:r w:rsidR="009C1A45">
              <w:rPr>
                <w:noProof/>
                <w:webHidden/>
              </w:rPr>
              <w:fldChar w:fldCharType="end"/>
            </w:r>
          </w:hyperlink>
        </w:p>
        <w:p w:rsidR="009C1A45" w:rsidRDefault="0072371B">
          <w:pPr>
            <w:pStyle w:val="TOC3"/>
            <w:tabs>
              <w:tab w:val="left" w:pos="1320"/>
              <w:tab w:val="right" w:leader="dot" w:pos="9202"/>
            </w:tabs>
            <w:rPr>
              <w:rFonts w:asciiTheme="minorHAnsi" w:eastAsiaTheme="minorEastAsia" w:hAnsiTheme="minorHAnsi" w:cstheme="minorBidi"/>
              <w:bCs w:val="0"/>
              <w:noProof/>
              <w:sz w:val="22"/>
              <w:szCs w:val="22"/>
              <w:lang w:eastAsia="en-GB"/>
            </w:rPr>
          </w:pPr>
          <w:hyperlink w:anchor="_Toc414568066" w:history="1">
            <w:r w:rsidR="009C1A45" w:rsidRPr="009F7D92">
              <w:rPr>
                <w:rStyle w:val="Hyperlink"/>
                <w:noProof/>
              </w:rPr>
              <w:t>4.4.1.</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Final report</w:t>
            </w:r>
            <w:r w:rsidR="009C1A45">
              <w:rPr>
                <w:noProof/>
                <w:webHidden/>
              </w:rPr>
              <w:tab/>
            </w:r>
            <w:r w:rsidR="009C1A45">
              <w:rPr>
                <w:noProof/>
                <w:webHidden/>
              </w:rPr>
              <w:fldChar w:fldCharType="begin"/>
            </w:r>
            <w:r w:rsidR="009C1A45">
              <w:rPr>
                <w:noProof/>
                <w:webHidden/>
              </w:rPr>
              <w:instrText xml:space="preserve"> PAGEREF _Toc414568066 \h </w:instrText>
            </w:r>
            <w:r w:rsidR="009C1A45">
              <w:rPr>
                <w:noProof/>
                <w:webHidden/>
              </w:rPr>
            </w:r>
            <w:r w:rsidR="009C1A45">
              <w:rPr>
                <w:noProof/>
                <w:webHidden/>
              </w:rPr>
              <w:fldChar w:fldCharType="separate"/>
            </w:r>
            <w:r>
              <w:rPr>
                <w:noProof/>
                <w:webHidden/>
              </w:rPr>
              <w:t>42</w:t>
            </w:r>
            <w:r w:rsidR="009C1A45">
              <w:rPr>
                <w:noProof/>
                <w:webHidden/>
              </w:rPr>
              <w:fldChar w:fldCharType="end"/>
            </w:r>
          </w:hyperlink>
        </w:p>
        <w:p w:rsidR="009C1A45" w:rsidRDefault="0072371B">
          <w:pPr>
            <w:pStyle w:val="TOC3"/>
            <w:tabs>
              <w:tab w:val="left" w:pos="1320"/>
              <w:tab w:val="right" w:leader="dot" w:pos="9202"/>
            </w:tabs>
            <w:rPr>
              <w:rFonts w:asciiTheme="minorHAnsi" w:eastAsiaTheme="minorEastAsia" w:hAnsiTheme="minorHAnsi" w:cstheme="minorBidi"/>
              <w:bCs w:val="0"/>
              <w:noProof/>
              <w:sz w:val="22"/>
              <w:szCs w:val="22"/>
              <w:lang w:eastAsia="en-GB"/>
            </w:rPr>
          </w:pPr>
          <w:hyperlink w:anchor="_Toc414568067" w:history="1">
            <w:r w:rsidR="009C1A45" w:rsidRPr="009F7D92">
              <w:rPr>
                <w:rStyle w:val="Hyperlink"/>
                <w:noProof/>
              </w:rPr>
              <w:t>4.4.2.</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Action plan</w:t>
            </w:r>
            <w:r w:rsidR="009C1A45">
              <w:rPr>
                <w:noProof/>
                <w:webHidden/>
              </w:rPr>
              <w:tab/>
            </w:r>
            <w:r w:rsidR="009C1A45">
              <w:rPr>
                <w:noProof/>
                <w:webHidden/>
              </w:rPr>
              <w:fldChar w:fldCharType="begin"/>
            </w:r>
            <w:r w:rsidR="009C1A45">
              <w:rPr>
                <w:noProof/>
                <w:webHidden/>
              </w:rPr>
              <w:instrText xml:space="preserve"> PAGEREF _Toc414568067 \h </w:instrText>
            </w:r>
            <w:r w:rsidR="009C1A45">
              <w:rPr>
                <w:noProof/>
                <w:webHidden/>
              </w:rPr>
            </w:r>
            <w:r w:rsidR="009C1A45">
              <w:rPr>
                <w:noProof/>
                <w:webHidden/>
              </w:rPr>
              <w:fldChar w:fldCharType="separate"/>
            </w:r>
            <w:r>
              <w:rPr>
                <w:noProof/>
                <w:webHidden/>
              </w:rPr>
              <w:t>43</w:t>
            </w:r>
            <w:r w:rsidR="009C1A45">
              <w:rPr>
                <w:noProof/>
                <w:webHidden/>
              </w:rPr>
              <w:fldChar w:fldCharType="end"/>
            </w:r>
          </w:hyperlink>
        </w:p>
        <w:p w:rsidR="009C1A45" w:rsidRDefault="0072371B">
          <w:pPr>
            <w:pStyle w:val="TOC2"/>
            <w:tabs>
              <w:tab w:val="left" w:pos="880"/>
              <w:tab w:val="right" w:leader="dot" w:pos="9202"/>
            </w:tabs>
            <w:rPr>
              <w:rFonts w:asciiTheme="minorHAnsi" w:eastAsiaTheme="minorEastAsia" w:hAnsiTheme="minorHAnsi" w:cstheme="minorBidi"/>
              <w:bCs w:val="0"/>
              <w:noProof/>
              <w:sz w:val="22"/>
              <w:szCs w:val="22"/>
              <w:lang w:eastAsia="en-GB"/>
            </w:rPr>
          </w:pPr>
          <w:hyperlink w:anchor="_Toc414568068" w:history="1">
            <w:r w:rsidR="009C1A45" w:rsidRPr="009F7D92">
              <w:rPr>
                <w:rStyle w:val="Hyperlink"/>
                <w:noProof/>
              </w:rPr>
              <w:t>4.5.</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Submission of Final Report, Quality Assurance and Closure</w:t>
            </w:r>
            <w:r w:rsidR="009C1A45">
              <w:rPr>
                <w:noProof/>
                <w:webHidden/>
              </w:rPr>
              <w:tab/>
            </w:r>
            <w:r w:rsidR="009C1A45">
              <w:rPr>
                <w:noProof/>
                <w:webHidden/>
              </w:rPr>
              <w:fldChar w:fldCharType="begin"/>
            </w:r>
            <w:r w:rsidR="009C1A45">
              <w:rPr>
                <w:noProof/>
                <w:webHidden/>
              </w:rPr>
              <w:instrText xml:space="preserve"> PAGEREF _Toc414568068 \h </w:instrText>
            </w:r>
            <w:r w:rsidR="009C1A45">
              <w:rPr>
                <w:noProof/>
                <w:webHidden/>
              </w:rPr>
            </w:r>
            <w:r w:rsidR="009C1A45">
              <w:rPr>
                <w:noProof/>
                <w:webHidden/>
              </w:rPr>
              <w:fldChar w:fldCharType="separate"/>
            </w:r>
            <w:r>
              <w:rPr>
                <w:noProof/>
                <w:webHidden/>
              </w:rPr>
              <w:t>43</w:t>
            </w:r>
            <w:r w:rsidR="009C1A45">
              <w:rPr>
                <w:noProof/>
                <w:webHidden/>
              </w:rPr>
              <w:fldChar w:fldCharType="end"/>
            </w:r>
          </w:hyperlink>
        </w:p>
        <w:p w:rsidR="009C1A45" w:rsidRDefault="0072371B">
          <w:pPr>
            <w:pStyle w:val="TOC3"/>
            <w:tabs>
              <w:tab w:val="left" w:pos="1320"/>
              <w:tab w:val="right" w:leader="dot" w:pos="9202"/>
            </w:tabs>
            <w:rPr>
              <w:rFonts w:asciiTheme="minorHAnsi" w:eastAsiaTheme="minorEastAsia" w:hAnsiTheme="minorHAnsi" w:cstheme="minorBidi"/>
              <w:bCs w:val="0"/>
              <w:noProof/>
              <w:sz w:val="22"/>
              <w:szCs w:val="22"/>
              <w:lang w:eastAsia="en-GB"/>
            </w:rPr>
          </w:pPr>
          <w:hyperlink w:anchor="_Toc414568069" w:history="1">
            <w:r w:rsidR="009C1A45" w:rsidRPr="009F7D92">
              <w:rPr>
                <w:rStyle w:val="Hyperlink"/>
                <w:noProof/>
              </w:rPr>
              <w:t>4.5.1.</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Submission of Final Report</w:t>
            </w:r>
            <w:r w:rsidR="009C1A45">
              <w:rPr>
                <w:noProof/>
                <w:webHidden/>
              </w:rPr>
              <w:tab/>
            </w:r>
            <w:r w:rsidR="009C1A45">
              <w:rPr>
                <w:noProof/>
                <w:webHidden/>
              </w:rPr>
              <w:fldChar w:fldCharType="begin"/>
            </w:r>
            <w:r w:rsidR="009C1A45">
              <w:rPr>
                <w:noProof/>
                <w:webHidden/>
              </w:rPr>
              <w:instrText xml:space="preserve"> PAGEREF _Toc414568069 \h </w:instrText>
            </w:r>
            <w:r w:rsidR="009C1A45">
              <w:rPr>
                <w:noProof/>
                <w:webHidden/>
              </w:rPr>
            </w:r>
            <w:r w:rsidR="009C1A45">
              <w:rPr>
                <w:noProof/>
                <w:webHidden/>
              </w:rPr>
              <w:fldChar w:fldCharType="separate"/>
            </w:r>
            <w:r>
              <w:rPr>
                <w:noProof/>
                <w:webHidden/>
              </w:rPr>
              <w:t>43</w:t>
            </w:r>
            <w:r w:rsidR="009C1A45">
              <w:rPr>
                <w:noProof/>
                <w:webHidden/>
              </w:rPr>
              <w:fldChar w:fldCharType="end"/>
            </w:r>
          </w:hyperlink>
        </w:p>
        <w:p w:rsidR="009C1A45" w:rsidRDefault="0072371B">
          <w:pPr>
            <w:pStyle w:val="TOC3"/>
            <w:tabs>
              <w:tab w:val="left" w:pos="1320"/>
              <w:tab w:val="right" w:leader="dot" w:pos="9202"/>
            </w:tabs>
            <w:rPr>
              <w:rStyle w:val="Hyperlink"/>
              <w:noProof/>
            </w:rPr>
          </w:pPr>
          <w:hyperlink w:anchor="_Toc414568070" w:history="1">
            <w:r w:rsidR="009C1A45" w:rsidRPr="009F7D92">
              <w:rPr>
                <w:rStyle w:val="Hyperlink"/>
                <w:noProof/>
              </w:rPr>
              <w:t>4.5.2.</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Quality Assurance and Closure of the Investigation</w:t>
            </w:r>
            <w:r w:rsidR="009C1A45">
              <w:rPr>
                <w:noProof/>
                <w:webHidden/>
              </w:rPr>
              <w:tab/>
            </w:r>
            <w:r w:rsidR="009C1A45">
              <w:rPr>
                <w:noProof/>
                <w:webHidden/>
              </w:rPr>
              <w:fldChar w:fldCharType="begin"/>
            </w:r>
            <w:r w:rsidR="009C1A45">
              <w:rPr>
                <w:noProof/>
                <w:webHidden/>
              </w:rPr>
              <w:instrText xml:space="preserve"> PAGEREF _Toc414568070 \h </w:instrText>
            </w:r>
            <w:r w:rsidR="009C1A45">
              <w:rPr>
                <w:noProof/>
                <w:webHidden/>
              </w:rPr>
            </w:r>
            <w:r w:rsidR="009C1A45">
              <w:rPr>
                <w:noProof/>
                <w:webHidden/>
              </w:rPr>
              <w:fldChar w:fldCharType="separate"/>
            </w:r>
            <w:r>
              <w:rPr>
                <w:noProof/>
                <w:webHidden/>
              </w:rPr>
              <w:t>44</w:t>
            </w:r>
            <w:r w:rsidR="009C1A45">
              <w:rPr>
                <w:noProof/>
                <w:webHidden/>
              </w:rPr>
              <w:fldChar w:fldCharType="end"/>
            </w:r>
          </w:hyperlink>
        </w:p>
        <w:p w:rsidR="00356FCB" w:rsidRPr="00356FCB" w:rsidRDefault="00356FCB" w:rsidP="00356FCB">
          <w:pPr>
            <w:rPr>
              <w:rFonts w:eastAsiaTheme="minorEastAsia"/>
              <w:noProof/>
            </w:rPr>
          </w:pPr>
        </w:p>
        <w:p w:rsidR="009C1A45" w:rsidRDefault="0072371B">
          <w:pPr>
            <w:pStyle w:val="TOC1"/>
            <w:rPr>
              <w:rFonts w:asciiTheme="minorHAnsi" w:eastAsiaTheme="minorEastAsia" w:hAnsiTheme="minorHAnsi" w:cstheme="minorBidi"/>
              <w:bCs w:val="0"/>
              <w:noProof/>
              <w:sz w:val="22"/>
              <w:szCs w:val="22"/>
              <w:lang w:eastAsia="en-GB"/>
            </w:rPr>
          </w:pPr>
          <w:hyperlink w:anchor="_Toc414568071" w:history="1">
            <w:r w:rsidR="009C1A45" w:rsidRPr="009F7D92">
              <w:rPr>
                <w:rStyle w:val="Hyperlink"/>
                <w:noProof/>
              </w:rPr>
              <w:t>5.</w:t>
            </w:r>
            <w:r w:rsidR="009C1A45">
              <w:rPr>
                <w:rFonts w:asciiTheme="minorHAnsi" w:eastAsiaTheme="minorEastAsia" w:hAnsiTheme="minorHAnsi" w:cstheme="minorBidi"/>
                <w:bCs w:val="0"/>
                <w:noProof/>
                <w:sz w:val="22"/>
                <w:szCs w:val="22"/>
                <w:lang w:eastAsia="en-GB"/>
              </w:rPr>
              <w:tab/>
            </w:r>
            <w:r w:rsidR="009C1A45" w:rsidRPr="009F7D92">
              <w:rPr>
                <w:rStyle w:val="Hyperlink"/>
                <w:noProof/>
              </w:rPr>
              <w:t>Next steps</w:t>
            </w:r>
            <w:r w:rsidR="009C1A45">
              <w:rPr>
                <w:noProof/>
                <w:webHidden/>
              </w:rPr>
              <w:tab/>
            </w:r>
            <w:r w:rsidR="009C1A45">
              <w:rPr>
                <w:noProof/>
                <w:webHidden/>
              </w:rPr>
              <w:fldChar w:fldCharType="begin"/>
            </w:r>
            <w:r w:rsidR="009C1A45">
              <w:rPr>
                <w:noProof/>
                <w:webHidden/>
              </w:rPr>
              <w:instrText xml:space="preserve"> PAGEREF _Toc414568071 \h </w:instrText>
            </w:r>
            <w:r w:rsidR="009C1A45">
              <w:rPr>
                <w:noProof/>
                <w:webHidden/>
              </w:rPr>
            </w:r>
            <w:r w:rsidR="009C1A45">
              <w:rPr>
                <w:noProof/>
                <w:webHidden/>
              </w:rPr>
              <w:fldChar w:fldCharType="separate"/>
            </w:r>
            <w:r>
              <w:rPr>
                <w:noProof/>
                <w:webHidden/>
              </w:rPr>
              <w:t>45</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72" w:history="1">
            <w:r w:rsidR="009C1A45" w:rsidRPr="009F7D92">
              <w:rPr>
                <w:rStyle w:val="Hyperlink"/>
                <w:noProof/>
              </w:rPr>
              <w:t>Appendix 1: Regional Investigation Teams: Investigation of homicide by those in receipt of mental health care</w:t>
            </w:r>
            <w:r w:rsidR="009C1A45">
              <w:rPr>
                <w:noProof/>
                <w:webHidden/>
              </w:rPr>
              <w:tab/>
            </w:r>
            <w:r w:rsidR="009C1A45">
              <w:rPr>
                <w:noProof/>
                <w:webHidden/>
              </w:rPr>
              <w:fldChar w:fldCharType="begin"/>
            </w:r>
            <w:r w:rsidR="009C1A45">
              <w:rPr>
                <w:noProof/>
                <w:webHidden/>
              </w:rPr>
              <w:instrText xml:space="preserve"> PAGEREF _Toc414568072 \h </w:instrText>
            </w:r>
            <w:r w:rsidR="009C1A45">
              <w:rPr>
                <w:noProof/>
                <w:webHidden/>
              </w:rPr>
            </w:r>
            <w:r w:rsidR="009C1A45">
              <w:rPr>
                <w:noProof/>
                <w:webHidden/>
              </w:rPr>
              <w:fldChar w:fldCharType="separate"/>
            </w:r>
            <w:r>
              <w:rPr>
                <w:noProof/>
                <w:webHidden/>
              </w:rPr>
              <w:t>47</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73" w:history="1">
            <w:r w:rsidR="009C1A45" w:rsidRPr="009F7D92">
              <w:rPr>
                <w:rStyle w:val="Hyperlink"/>
                <w:noProof/>
              </w:rPr>
              <w:t>Appendix</w:t>
            </w:r>
            <w:r w:rsidR="00356FCB">
              <w:rPr>
                <w:rStyle w:val="Hyperlink"/>
                <w:noProof/>
              </w:rPr>
              <w:t xml:space="preserve"> 2: Notification of Interested B</w:t>
            </w:r>
            <w:r w:rsidR="009C1A45" w:rsidRPr="009F7D92">
              <w:rPr>
                <w:rStyle w:val="Hyperlink"/>
                <w:noProof/>
              </w:rPr>
              <w:t>odies</w:t>
            </w:r>
            <w:r w:rsidR="009C1A45">
              <w:rPr>
                <w:noProof/>
                <w:webHidden/>
              </w:rPr>
              <w:tab/>
            </w:r>
            <w:r w:rsidR="009C1A45">
              <w:rPr>
                <w:noProof/>
                <w:webHidden/>
              </w:rPr>
              <w:fldChar w:fldCharType="begin"/>
            </w:r>
            <w:r w:rsidR="009C1A45">
              <w:rPr>
                <w:noProof/>
                <w:webHidden/>
              </w:rPr>
              <w:instrText xml:space="preserve"> PAGEREF _Toc414568073 \h </w:instrText>
            </w:r>
            <w:r w:rsidR="009C1A45">
              <w:rPr>
                <w:noProof/>
                <w:webHidden/>
              </w:rPr>
            </w:r>
            <w:r w:rsidR="009C1A45">
              <w:rPr>
                <w:noProof/>
                <w:webHidden/>
              </w:rPr>
              <w:fldChar w:fldCharType="separate"/>
            </w:r>
            <w:r>
              <w:rPr>
                <w:noProof/>
                <w:webHidden/>
              </w:rPr>
              <w:t>54</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74" w:history="1">
            <w:r w:rsidR="009C1A45" w:rsidRPr="009F7D92">
              <w:rPr>
                <w:rStyle w:val="Hyperlink"/>
                <w:noProof/>
              </w:rPr>
              <w:t>Appendix 3: Independent Investigation (level 3)</w:t>
            </w:r>
            <w:r w:rsidR="009C1A45">
              <w:rPr>
                <w:noProof/>
                <w:webHidden/>
              </w:rPr>
              <w:tab/>
            </w:r>
            <w:r w:rsidR="009C1A45">
              <w:rPr>
                <w:noProof/>
                <w:webHidden/>
              </w:rPr>
              <w:fldChar w:fldCharType="begin"/>
            </w:r>
            <w:r w:rsidR="009C1A45">
              <w:rPr>
                <w:noProof/>
                <w:webHidden/>
              </w:rPr>
              <w:instrText xml:space="preserve"> PAGEREF _Toc414568074 \h </w:instrText>
            </w:r>
            <w:r w:rsidR="009C1A45">
              <w:rPr>
                <w:noProof/>
                <w:webHidden/>
              </w:rPr>
            </w:r>
            <w:r w:rsidR="009C1A45">
              <w:rPr>
                <w:noProof/>
                <w:webHidden/>
              </w:rPr>
              <w:fldChar w:fldCharType="separate"/>
            </w:r>
            <w:r>
              <w:rPr>
                <w:noProof/>
                <w:webHidden/>
              </w:rPr>
              <w:t>60</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75" w:history="1">
            <w:r w:rsidR="009C1A45" w:rsidRPr="009F7D92">
              <w:rPr>
                <w:rStyle w:val="Hyperlink"/>
                <w:noProof/>
              </w:rPr>
              <w:t>Appendix 4: Domestic Homicide Reviews</w:t>
            </w:r>
            <w:r w:rsidR="009C1A45">
              <w:rPr>
                <w:noProof/>
                <w:webHidden/>
              </w:rPr>
              <w:tab/>
            </w:r>
            <w:r w:rsidR="009C1A45">
              <w:rPr>
                <w:noProof/>
                <w:webHidden/>
              </w:rPr>
              <w:fldChar w:fldCharType="begin"/>
            </w:r>
            <w:r w:rsidR="009C1A45">
              <w:rPr>
                <w:noProof/>
                <w:webHidden/>
              </w:rPr>
              <w:instrText xml:space="preserve"> PAGEREF _Toc414568075 \h </w:instrText>
            </w:r>
            <w:r w:rsidR="009C1A45">
              <w:rPr>
                <w:noProof/>
                <w:webHidden/>
              </w:rPr>
            </w:r>
            <w:r w:rsidR="009C1A45">
              <w:rPr>
                <w:noProof/>
                <w:webHidden/>
              </w:rPr>
              <w:fldChar w:fldCharType="separate"/>
            </w:r>
            <w:r>
              <w:rPr>
                <w:noProof/>
                <w:webHidden/>
              </w:rPr>
              <w:t>69</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76" w:history="1">
            <w:r w:rsidR="009C1A45" w:rsidRPr="009F7D92">
              <w:rPr>
                <w:rStyle w:val="Hyperlink"/>
                <w:noProof/>
              </w:rPr>
              <w:t>Appendix 5: Assigning Accountability: RASCI model</w:t>
            </w:r>
            <w:r w:rsidR="009C1A45">
              <w:rPr>
                <w:noProof/>
                <w:webHidden/>
              </w:rPr>
              <w:tab/>
            </w:r>
            <w:r w:rsidR="009C1A45">
              <w:rPr>
                <w:noProof/>
                <w:webHidden/>
              </w:rPr>
              <w:fldChar w:fldCharType="begin"/>
            </w:r>
            <w:r w:rsidR="009C1A45">
              <w:rPr>
                <w:noProof/>
                <w:webHidden/>
              </w:rPr>
              <w:instrText xml:space="preserve"> PAGEREF _Toc414568076 \h </w:instrText>
            </w:r>
            <w:r w:rsidR="009C1A45">
              <w:rPr>
                <w:noProof/>
                <w:webHidden/>
              </w:rPr>
            </w:r>
            <w:r w:rsidR="009C1A45">
              <w:rPr>
                <w:noProof/>
                <w:webHidden/>
              </w:rPr>
              <w:fldChar w:fldCharType="separate"/>
            </w:r>
            <w:r>
              <w:rPr>
                <w:noProof/>
                <w:webHidden/>
              </w:rPr>
              <w:t>72</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77" w:history="1">
            <w:r w:rsidR="009C1A45" w:rsidRPr="009F7D92">
              <w:rPr>
                <w:rStyle w:val="Hyperlink"/>
                <w:noProof/>
              </w:rPr>
              <w:t xml:space="preserve">Appendix 6: Example incident reporting forms </w:t>
            </w:r>
            <w:r w:rsidR="009C1A45" w:rsidRPr="009F7D92">
              <w:rPr>
                <w:rStyle w:val="Hyperlink"/>
                <w:rFonts w:eastAsiaTheme="minorHAnsi"/>
                <w:noProof/>
              </w:rPr>
              <w:t>(either template can be used)</w:t>
            </w:r>
            <w:r w:rsidR="009C1A45">
              <w:rPr>
                <w:noProof/>
                <w:webHidden/>
              </w:rPr>
              <w:tab/>
            </w:r>
            <w:r w:rsidR="009C1A45">
              <w:rPr>
                <w:noProof/>
                <w:webHidden/>
              </w:rPr>
              <w:fldChar w:fldCharType="begin"/>
            </w:r>
            <w:r w:rsidR="009C1A45">
              <w:rPr>
                <w:noProof/>
                <w:webHidden/>
              </w:rPr>
              <w:instrText xml:space="preserve"> PAGEREF _Toc414568077 \h </w:instrText>
            </w:r>
            <w:r w:rsidR="009C1A45">
              <w:rPr>
                <w:noProof/>
                <w:webHidden/>
              </w:rPr>
            </w:r>
            <w:r w:rsidR="009C1A45">
              <w:rPr>
                <w:noProof/>
                <w:webHidden/>
              </w:rPr>
              <w:fldChar w:fldCharType="separate"/>
            </w:r>
            <w:r>
              <w:rPr>
                <w:noProof/>
                <w:webHidden/>
              </w:rPr>
              <w:t>75</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78" w:history="1">
            <w:r w:rsidR="009C1A45" w:rsidRPr="009F7D92">
              <w:rPr>
                <w:rStyle w:val="Hyperlink"/>
                <w:noProof/>
              </w:rPr>
              <w:t>Appendix 7: Communications</w:t>
            </w:r>
            <w:r w:rsidR="009C1A45">
              <w:rPr>
                <w:noProof/>
                <w:webHidden/>
              </w:rPr>
              <w:tab/>
            </w:r>
            <w:r w:rsidR="009C1A45">
              <w:rPr>
                <w:noProof/>
                <w:webHidden/>
              </w:rPr>
              <w:fldChar w:fldCharType="begin"/>
            </w:r>
            <w:r w:rsidR="009C1A45">
              <w:rPr>
                <w:noProof/>
                <w:webHidden/>
              </w:rPr>
              <w:instrText xml:space="preserve"> PAGEREF _Toc414568078 \h </w:instrText>
            </w:r>
            <w:r w:rsidR="009C1A45">
              <w:rPr>
                <w:noProof/>
                <w:webHidden/>
              </w:rPr>
            </w:r>
            <w:r w:rsidR="009C1A45">
              <w:rPr>
                <w:noProof/>
                <w:webHidden/>
              </w:rPr>
              <w:fldChar w:fldCharType="separate"/>
            </w:r>
            <w:r>
              <w:rPr>
                <w:noProof/>
                <w:webHidden/>
              </w:rPr>
              <w:t>78</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79" w:history="1">
            <w:r w:rsidR="009C1A45" w:rsidRPr="009F7D92">
              <w:rPr>
                <w:rStyle w:val="Hyperlink"/>
                <w:noProof/>
              </w:rPr>
              <w:t>Appendix 8: Closure checklist</w:t>
            </w:r>
            <w:r w:rsidR="009C1A45">
              <w:rPr>
                <w:noProof/>
                <w:webHidden/>
              </w:rPr>
              <w:tab/>
            </w:r>
            <w:r w:rsidR="009C1A45">
              <w:rPr>
                <w:noProof/>
                <w:webHidden/>
              </w:rPr>
              <w:fldChar w:fldCharType="begin"/>
            </w:r>
            <w:r w:rsidR="009C1A45">
              <w:rPr>
                <w:noProof/>
                <w:webHidden/>
              </w:rPr>
              <w:instrText xml:space="preserve"> PAGEREF _Toc414568079 \h </w:instrText>
            </w:r>
            <w:r w:rsidR="009C1A45">
              <w:rPr>
                <w:noProof/>
                <w:webHidden/>
              </w:rPr>
            </w:r>
            <w:r w:rsidR="009C1A45">
              <w:rPr>
                <w:noProof/>
                <w:webHidden/>
              </w:rPr>
              <w:fldChar w:fldCharType="separate"/>
            </w:r>
            <w:r>
              <w:rPr>
                <w:noProof/>
                <w:webHidden/>
              </w:rPr>
              <w:t>83</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80" w:history="1">
            <w:r w:rsidR="009C1A45" w:rsidRPr="009F7D92">
              <w:rPr>
                <w:rStyle w:val="Hyperlink"/>
                <w:noProof/>
              </w:rPr>
              <w:t>Glossary</w:t>
            </w:r>
            <w:r w:rsidR="009C1A45">
              <w:rPr>
                <w:noProof/>
                <w:webHidden/>
              </w:rPr>
              <w:tab/>
            </w:r>
            <w:r w:rsidR="009C1A45">
              <w:rPr>
                <w:noProof/>
                <w:webHidden/>
              </w:rPr>
              <w:fldChar w:fldCharType="begin"/>
            </w:r>
            <w:r w:rsidR="009C1A45">
              <w:rPr>
                <w:noProof/>
                <w:webHidden/>
              </w:rPr>
              <w:instrText xml:space="preserve"> PAGEREF _Toc414568080 \h </w:instrText>
            </w:r>
            <w:r w:rsidR="009C1A45">
              <w:rPr>
                <w:noProof/>
                <w:webHidden/>
              </w:rPr>
            </w:r>
            <w:r w:rsidR="009C1A45">
              <w:rPr>
                <w:noProof/>
                <w:webHidden/>
              </w:rPr>
              <w:fldChar w:fldCharType="separate"/>
            </w:r>
            <w:r>
              <w:rPr>
                <w:noProof/>
                <w:webHidden/>
              </w:rPr>
              <w:t>84</w:t>
            </w:r>
            <w:r w:rsidR="009C1A45">
              <w:rPr>
                <w:noProof/>
                <w:webHidden/>
              </w:rPr>
              <w:fldChar w:fldCharType="end"/>
            </w:r>
          </w:hyperlink>
        </w:p>
        <w:p w:rsidR="009C1A45" w:rsidRDefault="0072371B">
          <w:pPr>
            <w:pStyle w:val="TOC1"/>
            <w:rPr>
              <w:rFonts w:asciiTheme="minorHAnsi" w:eastAsiaTheme="minorEastAsia" w:hAnsiTheme="minorHAnsi" w:cstheme="minorBidi"/>
              <w:bCs w:val="0"/>
              <w:noProof/>
              <w:sz w:val="22"/>
              <w:szCs w:val="22"/>
              <w:lang w:eastAsia="en-GB"/>
            </w:rPr>
          </w:pPr>
          <w:hyperlink w:anchor="_Toc414568081" w:history="1">
            <w:r w:rsidR="009C1A45" w:rsidRPr="009F7D92">
              <w:rPr>
                <w:rStyle w:val="Hyperlink"/>
                <w:noProof/>
              </w:rPr>
              <w:t>References</w:t>
            </w:r>
            <w:r w:rsidR="009C1A45">
              <w:rPr>
                <w:noProof/>
                <w:webHidden/>
              </w:rPr>
              <w:tab/>
            </w:r>
            <w:r w:rsidR="009C1A45">
              <w:rPr>
                <w:noProof/>
                <w:webHidden/>
              </w:rPr>
              <w:fldChar w:fldCharType="begin"/>
            </w:r>
            <w:r w:rsidR="009C1A45">
              <w:rPr>
                <w:noProof/>
                <w:webHidden/>
              </w:rPr>
              <w:instrText xml:space="preserve"> PAGEREF _Toc414568081 \h </w:instrText>
            </w:r>
            <w:r w:rsidR="009C1A45">
              <w:rPr>
                <w:noProof/>
                <w:webHidden/>
              </w:rPr>
            </w:r>
            <w:r w:rsidR="009C1A45">
              <w:rPr>
                <w:noProof/>
                <w:webHidden/>
              </w:rPr>
              <w:fldChar w:fldCharType="separate"/>
            </w:r>
            <w:r>
              <w:rPr>
                <w:noProof/>
                <w:webHidden/>
              </w:rPr>
              <w:t>88</w:t>
            </w:r>
            <w:r w:rsidR="009C1A45">
              <w:rPr>
                <w:noProof/>
                <w:webHidden/>
              </w:rPr>
              <w:fldChar w:fldCharType="end"/>
            </w:r>
          </w:hyperlink>
        </w:p>
        <w:p w:rsidR="00237034" w:rsidRDefault="00237034">
          <w:r>
            <w:rPr>
              <w:b/>
              <w:noProof/>
            </w:rPr>
            <w:fldChar w:fldCharType="end"/>
          </w:r>
        </w:p>
      </w:sdtContent>
    </w:sdt>
    <w:p w:rsidR="00AB549D" w:rsidRDefault="00AB549D" w:rsidP="00A716D1"/>
    <w:p w:rsidR="00137788" w:rsidRDefault="00137788" w:rsidP="0085461B">
      <w:pPr>
        <w:pStyle w:val="Heading1"/>
      </w:pPr>
    </w:p>
    <w:p w:rsidR="00137788" w:rsidRDefault="00137788" w:rsidP="0085461B">
      <w:pPr>
        <w:pStyle w:val="Heading1"/>
      </w:pPr>
    </w:p>
    <w:p w:rsidR="00137788" w:rsidRDefault="00137788" w:rsidP="0085461B">
      <w:pPr>
        <w:pStyle w:val="Heading1"/>
      </w:pPr>
    </w:p>
    <w:p w:rsidR="00137788" w:rsidRDefault="00137788" w:rsidP="0085461B">
      <w:pPr>
        <w:pStyle w:val="Heading1"/>
      </w:pPr>
    </w:p>
    <w:p w:rsidR="00137788" w:rsidRDefault="00137788" w:rsidP="0085461B">
      <w:pPr>
        <w:pStyle w:val="Heading1"/>
      </w:pPr>
    </w:p>
    <w:p w:rsidR="00137788" w:rsidRDefault="00137788" w:rsidP="0085461B">
      <w:pPr>
        <w:pStyle w:val="Heading1"/>
      </w:pPr>
    </w:p>
    <w:p w:rsidR="00137788" w:rsidRDefault="00137788" w:rsidP="0085461B">
      <w:pPr>
        <w:pStyle w:val="Heading1"/>
      </w:pPr>
    </w:p>
    <w:p w:rsidR="00137788" w:rsidRDefault="00137788" w:rsidP="0085461B">
      <w:pPr>
        <w:pStyle w:val="Heading1"/>
      </w:pPr>
    </w:p>
    <w:p w:rsidR="00137788" w:rsidRDefault="00137788" w:rsidP="0085461B">
      <w:pPr>
        <w:pStyle w:val="Heading1"/>
      </w:pPr>
    </w:p>
    <w:p w:rsidR="00137788" w:rsidRDefault="00137788" w:rsidP="0085461B">
      <w:pPr>
        <w:pStyle w:val="Heading1"/>
      </w:pPr>
    </w:p>
    <w:p w:rsidR="00137788" w:rsidRDefault="00137788" w:rsidP="0085461B">
      <w:pPr>
        <w:pStyle w:val="Heading1"/>
      </w:pPr>
    </w:p>
    <w:p w:rsidR="00137788" w:rsidRDefault="00137788" w:rsidP="0085461B">
      <w:pPr>
        <w:pStyle w:val="Heading1"/>
      </w:pPr>
    </w:p>
    <w:p w:rsidR="00137788" w:rsidRDefault="00137788" w:rsidP="0085461B">
      <w:pPr>
        <w:pStyle w:val="Heading1"/>
      </w:pPr>
    </w:p>
    <w:p w:rsidR="0072371B" w:rsidRDefault="0072371B" w:rsidP="0072371B">
      <w:pPr>
        <w:pStyle w:val="Heading1"/>
      </w:pPr>
      <w:r w:rsidRPr="00601DC6">
        <w:t>For</w:t>
      </w:r>
      <w:r>
        <w:t>ewo</w:t>
      </w:r>
      <w:r w:rsidRPr="00601DC6">
        <w:t>rd</w:t>
      </w:r>
    </w:p>
    <w:p w:rsidR="0072371B" w:rsidRPr="0072371B" w:rsidRDefault="0072371B" w:rsidP="0072371B"/>
    <w:p w:rsidR="0072371B" w:rsidRDefault="0072371B" w:rsidP="0072371B">
      <w:r>
        <w:rPr>
          <w:rFonts w:cs="Arial"/>
        </w:rPr>
        <w:t>Responding appropriately when things go wrong in healthcare is a key part of the way that the NHS can continually improve the safety of the services we provide to our patients. We know that healthcare systems and processes can have weaknesses that can lead to errors occurring and, tragically, these errors sometimes have serious consequences for our patients,</w:t>
      </w:r>
      <w:r w:rsidRPr="004922E0">
        <w:rPr>
          <w:rFonts w:cs="Arial"/>
        </w:rPr>
        <w:t xml:space="preserve"> </w:t>
      </w:r>
      <w:r w:rsidRPr="00601DC6">
        <w:rPr>
          <w:rFonts w:cs="Arial"/>
        </w:rPr>
        <w:t>staff, services users and</w:t>
      </w:r>
      <w:r>
        <w:rPr>
          <w:rFonts w:cs="Arial"/>
        </w:rPr>
        <w:t>/or</w:t>
      </w:r>
      <w:r w:rsidRPr="00601DC6">
        <w:rPr>
          <w:rFonts w:cs="Arial"/>
        </w:rPr>
        <w:t xml:space="preserve"> the reputation of the organisations involved</w:t>
      </w:r>
      <w:r>
        <w:rPr>
          <w:rFonts w:cs="Arial"/>
        </w:rPr>
        <w:t xml:space="preserve"> themselves. It is therefore incumbent on us all to c</w:t>
      </w:r>
      <w:r w:rsidRPr="00601DC6">
        <w:rPr>
          <w:rFonts w:cs="Arial"/>
        </w:rPr>
        <w:t>ontinually strive to reduce the occurrence of avoidable harm</w:t>
      </w:r>
      <w:r>
        <w:t xml:space="preserve">. </w:t>
      </w:r>
    </w:p>
    <w:p w:rsidR="0072371B" w:rsidRDefault="0072371B" w:rsidP="0072371B"/>
    <w:p w:rsidR="0072371B" w:rsidRPr="00601DC6" w:rsidRDefault="0072371B" w:rsidP="0072371B">
      <w:pPr>
        <w:rPr>
          <w:rFonts w:cs="Arial"/>
        </w:rPr>
      </w:pPr>
      <w:r w:rsidRPr="00DE5929">
        <w:rPr>
          <w:rFonts w:cs="Arial"/>
        </w:rPr>
        <w:t xml:space="preserve">Over </w:t>
      </w:r>
      <w:r w:rsidRPr="00601DC6">
        <w:rPr>
          <w:rFonts w:cs="Arial"/>
        </w:rPr>
        <w:t>the last decade the NHS has made significant progress in developing a standardised way of recognising, reporting and investigating</w:t>
      </w:r>
      <w:r>
        <w:rPr>
          <w:rFonts w:cs="Arial"/>
        </w:rPr>
        <w:t xml:space="preserve"> when things go wrong and a key part of this is the way the system responds to</w:t>
      </w:r>
      <w:r w:rsidRPr="00601DC6">
        <w:rPr>
          <w:rFonts w:cs="Arial"/>
        </w:rPr>
        <w:t xml:space="preserve"> serious incidents. </w:t>
      </w:r>
    </w:p>
    <w:p w:rsidR="0072371B" w:rsidRDefault="0072371B" w:rsidP="0072371B">
      <w:pPr>
        <w:rPr>
          <w:rFonts w:cs="Arial"/>
        </w:rPr>
      </w:pPr>
      <w:r w:rsidRPr="00601DC6">
        <w:rPr>
          <w:rFonts w:cs="Arial"/>
        </w:rPr>
        <w:t>Serious incidents in health care are events where the potential for learning is so great, or the consequences to patients, families and carers, staff or organisations are so significant that they warrant our particular atte</w:t>
      </w:r>
      <w:r>
        <w:rPr>
          <w:rFonts w:cs="Arial"/>
        </w:rPr>
        <w:t>ntion to ensure these incidents are identified</w:t>
      </w:r>
      <w:r w:rsidRPr="00601DC6">
        <w:rPr>
          <w:rFonts w:cs="Arial"/>
        </w:rPr>
        <w:t xml:space="preserve"> correctly, </w:t>
      </w:r>
      <w:r>
        <w:rPr>
          <w:rFonts w:cs="Arial"/>
        </w:rPr>
        <w:t xml:space="preserve">investigated </w:t>
      </w:r>
      <w:r w:rsidRPr="00601DC6">
        <w:rPr>
          <w:rFonts w:cs="Arial"/>
        </w:rPr>
        <w:t xml:space="preserve">thoroughly and, most importantly, </w:t>
      </w:r>
      <w:r>
        <w:rPr>
          <w:rFonts w:cs="Arial"/>
        </w:rPr>
        <w:t xml:space="preserve">trigger actions </w:t>
      </w:r>
      <w:r w:rsidRPr="00601DC6">
        <w:rPr>
          <w:rFonts w:cs="Arial"/>
        </w:rPr>
        <w:t xml:space="preserve">that will prevent them from happening again.  </w:t>
      </w:r>
    </w:p>
    <w:p w:rsidR="0072371B" w:rsidRPr="00601DC6" w:rsidRDefault="0072371B" w:rsidP="0072371B">
      <w:pPr>
        <w:rPr>
          <w:rFonts w:cs="Arial"/>
        </w:rPr>
      </w:pPr>
    </w:p>
    <w:p w:rsidR="0072371B" w:rsidRDefault="0072371B" w:rsidP="0072371B">
      <w:pPr>
        <w:rPr>
          <w:rFonts w:cs="Arial"/>
        </w:rPr>
      </w:pPr>
      <w:r>
        <w:rPr>
          <w:rFonts w:cs="Arial"/>
        </w:rPr>
        <w:t>Following the implementation of the Health and Social Care Act 2012, a revised Serious Incident Framework was published in March 2013 to reflect the changed structures in the NHS. At the time we committed to review this Framework after a year of operation to understand how well the system was able to implement it. Therefore, over 2014 we have</w:t>
      </w:r>
      <w:r w:rsidRPr="00601DC6">
        <w:rPr>
          <w:rFonts w:cs="Arial"/>
        </w:rPr>
        <w:t xml:space="preserve"> review</w:t>
      </w:r>
      <w:r>
        <w:rPr>
          <w:rFonts w:cs="Arial"/>
        </w:rPr>
        <w:t xml:space="preserve">ed </w:t>
      </w:r>
      <w:r w:rsidRPr="00601DC6">
        <w:rPr>
          <w:rFonts w:cs="Arial"/>
        </w:rPr>
        <w:t>the Serious Incident Framework to ensure</w:t>
      </w:r>
      <w:r>
        <w:rPr>
          <w:rFonts w:cs="Arial"/>
        </w:rPr>
        <w:t xml:space="preserve"> that</w:t>
      </w:r>
      <w:r w:rsidRPr="00601DC6">
        <w:rPr>
          <w:rFonts w:cs="Arial"/>
        </w:rPr>
        <w:t xml:space="preserve"> </w:t>
      </w:r>
      <w:r>
        <w:rPr>
          <w:rFonts w:cs="Arial"/>
        </w:rPr>
        <w:t xml:space="preserve">it is fit for purpose and that it supports </w:t>
      </w:r>
      <w:r w:rsidRPr="00601DC6">
        <w:rPr>
          <w:rFonts w:cs="Arial"/>
        </w:rPr>
        <w:t xml:space="preserve">the need to take a whole-system approach to quality improvement. </w:t>
      </w:r>
    </w:p>
    <w:p w:rsidR="0072371B" w:rsidRPr="00601DC6" w:rsidRDefault="0072371B" w:rsidP="0072371B">
      <w:pPr>
        <w:rPr>
          <w:rFonts w:cs="Arial"/>
        </w:rPr>
      </w:pPr>
    </w:p>
    <w:p w:rsidR="0072371B" w:rsidRDefault="0072371B" w:rsidP="0072371B">
      <w:pPr>
        <w:rPr>
          <w:rFonts w:cs="Arial"/>
        </w:rPr>
      </w:pPr>
      <w:r w:rsidRPr="00601DC6">
        <w:rPr>
          <w:rFonts w:cs="Arial"/>
        </w:rPr>
        <w:t xml:space="preserve">As part of this review we </w:t>
      </w:r>
      <w:r>
        <w:rPr>
          <w:rFonts w:cs="Arial"/>
        </w:rPr>
        <w:t xml:space="preserve">have </w:t>
      </w:r>
      <w:r w:rsidRPr="00601DC6">
        <w:rPr>
          <w:rFonts w:cs="Arial"/>
        </w:rPr>
        <w:t>continue</w:t>
      </w:r>
      <w:r>
        <w:rPr>
          <w:rFonts w:cs="Arial"/>
        </w:rPr>
        <w:t>d</w:t>
      </w:r>
      <w:r w:rsidRPr="00601DC6">
        <w:rPr>
          <w:rFonts w:cs="Arial"/>
        </w:rPr>
        <w:t xml:space="preserve"> to promote and build on the fundamental purpose of patient safety investigation</w:t>
      </w:r>
      <w:r>
        <w:rPr>
          <w:rFonts w:cs="Arial"/>
        </w:rPr>
        <w:t>,</w:t>
      </w:r>
      <w:r w:rsidRPr="00601DC6">
        <w:rPr>
          <w:rFonts w:cs="Arial"/>
        </w:rPr>
        <w:t xml:space="preserve"> which is to learn from incidents, and not to apportion blame. We </w:t>
      </w:r>
      <w:r>
        <w:rPr>
          <w:rFonts w:cs="Arial"/>
        </w:rPr>
        <w:t xml:space="preserve">have </w:t>
      </w:r>
      <w:r w:rsidRPr="00601DC6">
        <w:rPr>
          <w:rFonts w:cs="Arial"/>
        </w:rPr>
        <w:t>also continue</w:t>
      </w:r>
      <w:r>
        <w:rPr>
          <w:rFonts w:cs="Arial"/>
        </w:rPr>
        <w:t>d</w:t>
      </w:r>
      <w:r w:rsidRPr="00601DC6">
        <w:rPr>
          <w:rFonts w:cs="Arial"/>
        </w:rPr>
        <w:t xml:space="preserve"> to endorse the application of the recognised system</w:t>
      </w:r>
      <w:r>
        <w:rPr>
          <w:rFonts w:cs="Arial"/>
        </w:rPr>
        <w:t>-</w:t>
      </w:r>
      <w:r w:rsidRPr="00601DC6">
        <w:rPr>
          <w:rFonts w:cs="Arial"/>
        </w:rPr>
        <w:t xml:space="preserve">based method for conducting investigations, commonly known as Root Cause Analysis (RCA), and its potential as a powerful mechanism for driving improvement. </w:t>
      </w:r>
    </w:p>
    <w:p w:rsidR="0072371B" w:rsidRPr="00601DC6" w:rsidRDefault="0072371B" w:rsidP="0072371B">
      <w:pPr>
        <w:rPr>
          <w:rFonts w:cs="Arial"/>
        </w:rPr>
      </w:pPr>
    </w:p>
    <w:p w:rsidR="0072371B" w:rsidRPr="00601DC6" w:rsidRDefault="0072371B" w:rsidP="0072371B">
      <w:pPr>
        <w:rPr>
          <w:rFonts w:cs="Arial"/>
        </w:rPr>
      </w:pPr>
      <w:r w:rsidRPr="00601DC6">
        <w:rPr>
          <w:rFonts w:cs="Arial"/>
        </w:rPr>
        <w:t xml:space="preserve">This revised </w:t>
      </w:r>
      <w:r>
        <w:rPr>
          <w:rFonts w:cs="Arial"/>
        </w:rPr>
        <w:t>F</w:t>
      </w:r>
      <w:r w:rsidRPr="00601DC6">
        <w:rPr>
          <w:rFonts w:cs="Arial"/>
        </w:rPr>
        <w:t xml:space="preserve">ramework has been developed in collaboration with healthcare providers, commissioners, regulatory and supervisory bodies, patients and families and their representatives, patient safety experts and independent expert advisors for investigation within healthcare. </w:t>
      </w:r>
      <w:r>
        <w:rPr>
          <w:rFonts w:cs="Arial"/>
        </w:rPr>
        <w:t>While the</w:t>
      </w:r>
      <w:r w:rsidRPr="00601DC6">
        <w:rPr>
          <w:rFonts w:cs="Arial"/>
        </w:rPr>
        <w:t xml:space="preserve"> fundamental principles of serious incident management remain unchanged,</w:t>
      </w:r>
      <w:r>
        <w:rPr>
          <w:rFonts w:cs="Arial"/>
        </w:rPr>
        <w:t xml:space="preserve"> a number of </w:t>
      </w:r>
      <w:r w:rsidRPr="00601DC6">
        <w:rPr>
          <w:rFonts w:cs="Arial"/>
        </w:rPr>
        <w:t xml:space="preserve">amendments have been made </w:t>
      </w:r>
      <w:r>
        <w:rPr>
          <w:rFonts w:cs="Arial"/>
        </w:rPr>
        <w:t xml:space="preserve">in order </w:t>
      </w:r>
      <w:r w:rsidRPr="00601DC6">
        <w:rPr>
          <w:rFonts w:cs="Arial"/>
        </w:rPr>
        <w:t>to;</w:t>
      </w:r>
    </w:p>
    <w:p w:rsidR="0072371B" w:rsidRPr="00601DC6" w:rsidRDefault="0072371B" w:rsidP="0072371B">
      <w:pPr>
        <w:pStyle w:val="ListParagraph"/>
        <w:numPr>
          <w:ilvl w:val="0"/>
          <w:numId w:val="75"/>
        </w:numPr>
        <w:spacing w:after="200" w:line="276" w:lineRule="auto"/>
        <w:rPr>
          <w:rFonts w:cs="Arial"/>
        </w:rPr>
      </w:pPr>
      <w:r w:rsidRPr="00601DC6">
        <w:rPr>
          <w:rFonts w:cs="Arial"/>
        </w:rPr>
        <w:t>emphasise the key principles of serious incident management;</w:t>
      </w:r>
    </w:p>
    <w:p w:rsidR="0072371B" w:rsidRPr="00601DC6" w:rsidRDefault="0072371B" w:rsidP="0072371B">
      <w:pPr>
        <w:pStyle w:val="ListParagraph"/>
        <w:numPr>
          <w:ilvl w:val="0"/>
          <w:numId w:val="75"/>
        </w:numPr>
        <w:spacing w:after="200" w:line="276" w:lineRule="auto"/>
        <w:rPr>
          <w:rFonts w:cs="Arial"/>
        </w:rPr>
      </w:pPr>
      <w:r w:rsidRPr="00601DC6">
        <w:rPr>
          <w:rFonts w:cs="Arial"/>
        </w:rPr>
        <w:t>more explicitly define the roles and responsibilities of those involved in the management of serious incident;</w:t>
      </w:r>
    </w:p>
    <w:p w:rsidR="0072371B" w:rsidRPr="00601DC6" w:rsidRDefault="0072371B" w:rsidP="0072371B">
      <w:pPr>
        <w:pStyle w:val="ListParagraph"/>
        <w:numPr>
          <w:ilvl w:val="0"/>
          <w:numId w:val="75"/>
        </w:numPr>
        <w:spacing w:after="200" w:line="276" w:lineRule="auto"/>
        <w:rPr>
          <w:rFonts w:cs="Arial"/>
        </w:rPr>
      </w:pPr>
      <w:r w:rsidRPr="00601DC6">
        <w:rPr>
          <w:rFonts w:cs="Arial"/>
        </w:rPr>
        <w:t>highlight the importance of working in a</w:t>
      </w:r>
      <w:r>
        <w:rPr>
          <w:rFonts w:cs="Arial"/>
        </w:rPr>
        <w:t>n</w:t>
      </w:r>
      <w:r w:rsidRPr="00601DC6">
        <w:rPr>
          <w:rFonts w:cs="Arial"/>
        </w:rPr>
        <w:t xml:space="preserve"> open, honest and transparent way where patients, victims and their families are put at the centre of the process;</w:t>
      </w:r>
    </w:p>
    <w:p w:rsidR="0072371B" w:rsidRPr="00601DC6" w:rsidRDefault="0072371B" w:rsidP="0072371B">
      <w:pPr>
        <w:pStyle w:val="ListParagraph"/>
        <w:numPr>
          <w:ilvl w:val="0"/>
          <w:numId w:val="75"/>
        </w:numPr>
        <w:spacing w:after="200" w:line="276" w:lineRule="auto"/>
        <w:rPr>
          <w:rFonts w:cs="Arial"/>
        </w:rPr>
      </w:pPr>
      <w:r w:rsidRPr="00601DC6">
        <w:rPr>
          <w:rFonts w:cs="Arial"/>
        </w:rPr>
        <w:t>promote the principles of investigation best practice across the system</w:t>
      </w:r>
      <w:r>
        <w:rPr>
          <w:rFonts w:cs="Arial"/>
        </w:rPr>
        <w:t>; and</w:t>
      </w:r>
    </w:p>
    <w:p w:rsidR="0072371B" w:rsidRDefault="0072371B" w:rsidP="0072371B">
      <w:pPr>
        <w:pStyle w:val="ListParagraph"/>
        <w:numPr>
          <w:ilvl w:val="0"/>
          <w:numId w:val="75"/>
        </w:numPr>
        <w:spacing w:after="200" w:line="276" w:lineRule="auto"/>
        <w:rPr>
          <w:rFonts w:cs="Arial"/>
        </w:rPr>
      </w:pPr>
      <w:r w:rsidRPr="00601DC6">
        <w:rPr>
          <w:rFonts w:cs="Arial"/>
        </w:rPr>
        <w:lastRenderedPageBreak/>
        <w:t>focus attention on the identification and implementation of improvements that will prevent recurrence of serious incidents, rather than</w:t>
      </w:r>
      <w:r>
        <w:rPr>
          <w:rFonts w:cs="Arial"/>
        </w:rPr>
        <w:t xml:space="preserve"> simply the</w:t>
      </w:r>
      <w:r w:rsidRPr="00601DC6">
        <w:rPr>
          <w:rFonts w:cs="Arial"/>
        </w:rPr>
        <w:t xml:space="preserve"> completion of a </w:t>
      </w:r>
      <w:r>
        <w:rPr>
          <w:rFonts w:cs="Arial"/>
        </w:rPr>
        <w:t>series of tasks</w:t>
      </w:r>
      <w:r w:rsidRPr="00601DC6">
        <w:rPr>
          <w:rFonts w:cs="Arial"/>
        </w:rPr>
        <w:t xml:space="preserve">. </w:t>
      </w:r>
    </w:p>
    <w:p w:rsidR="0072371B" w:rsidRDefault="0072371B" w:rsidP="0072371B">
      <w:pPr>
        <w:rPr>
          <w:rFonts w:cs="Arial"/>
        </w:rPr>
      </w:pPr>
      <w:r w:rsidRPr="00601DC6">
        <w:rPr>
          <w:rFonts w:cs="Arial"/>
        </w:rPr>
        <w:t>In order to simplify the process</w:t>
      </w:r>
      <w:r>
        <w:rPr>
          <w:rFonts w:cs="Arial"/>
        </w:rPr>
        <w:t xml:space="preserve"> of serious incident management,</w:t>
      </w:r>
      <w:r w:rsidRPr="00601DC6">
        <w:rPr>
          <w:rFonts w:cs="Arial"/>
        </w:rPr>
        <w:t xml:space="preserve"> two key operational changes have</w:t>
      </w:r>
      <w:r>
        <w:rPr>
          <w:rFonts w:cs="Arial"/>
        </w:rPr>
        <w:t xml:space="preserve"> also</w:t>
      </w:r>
      <w:r w:rsidRPr="00601DC6">
        <w:rPr>
          <w:rFonts w:cs="Arial"/>
        </w:rPr>
        <w:t xml:space="preserve"> been made:</w:t>
      </w:r>
    </w:p>
    <w:p w:rsidR="0072371B" w:rsidRDefault="0072371B" w:rsidP="0072371B">
      <w:pPr>
        <w:rPr>
          <w:rFonts w:cs="Arial"/>
        </w:rPr>
      </w:pPr>
    </w:p>
    <w:p w:rsidR="0072371B" w:rsidRPr="00601DC6" w:rsidRDefault="0072371B" w:rsidP="0072371B">
      <w:pPr>
        <w:pStyle w:val="ListParagraph"/>
        <w:numPr>
          <w:ilvl w:val="0"/>
          <w:numId w:val="76"/>
        </w:numPr>
        <w:spacing w:after="200" w:line="276" w:lineRule="auto"/>
        <w:rPr>
          <w:rFonts w:cs="Arial"/>
        </w:rPr>
      </w:pPr>
      <w:r>
        <w:rPr>
          <w:rFonts w:cs="Arial"/>
        </w:rPr>
        <w:t xml:space="preserve">Removal of grading – we found that </w:t>
      </w:r>
      <w:r w:rsidRPr="00601DC6">
        <w:rPr>
          <w:rFonts w:cs="Arial"/>
        </w:rPr>
        <w:t xml:space="preserve">incidents </w:t>
      </w:r>
      <w:r>
        <w:rPr>
          <w:rFonts w:cs="Arial"/>
        </w:rPr>
        <w:t>were</w:t>
      </w:r>
      <w:r w:rsidRPr="00601DC6">
        <w:rPr>
          <w:rFonts w:cs="Arial"/>
        </w:rPr>
        <w:t xml:space="preserve"> </w:t>
      </w:r>
      <w:r>
        <w:rPr>
          <w:rFonts w:cs="Arial"/>
        </w:rPr>
        <w:t xml:space="preserve">often </w:t>
      </w:r>
      <w:r w:rsidRPr="00601DC6">
        <w:rPr>
          <w:rFonts w:cs="Arial"/>
        </w:rPr>
        <w:t xml:space="preserve">graded without clear rationale. </w:t>
      </w:r>
      <w:r>
        <w:rPr>
          <w:rFonts w:cs="Arial"/>
        </w:rPr>
        <w:t xml:space="preserve">This causes debate and disagreement and can ultimately </w:t>
      </w:r>
      <w:r w:rsidRPr="00601DC6">
        <w:rPr>
          <w:rFonts w:cs="Arial"/>
        </w:rPr>
        <w:t>lead to incidents being managed and reviewed in an inconsistent and disproportionate manner. Under the new framework serious incidents are not defined by grade - all incidents meeting the threshold of a serious incident must be investigated and reviewed according to principles set out in the Framework.</w:t>
      </w:r>
    </w:p>
    <w:p w:rsidR="0072371B" w:rsidRPr="00601DC6" w:rsidRDefault="0072371B" w:rsidP="0072371B">
      <w:pPr>
        <w:pStyle w:val="ListParagraph"/>
        <w:numPr>
          <w:ilvl w:val="0"/>
          <w:numId w:val="76"/>
        </w:numPr>
        <w:spacing w:after="200" w:line="276" w:lineRule="auto"/>
        <w:rPr>
          <w:rFonts w:cs="Arial"/>
        </w:rPr>
      </w:pPr>
      <w:r w:rsidRPr="00601DC6">
        <w:rPr>
          <w:rFonts w:cs="Arial"/>
        </w:rPr>
        <w:t xml:space="preserve">Timescale –a single timeframe (60 working days) has been agreed for the completion of investigation reports. This will allow providers and commissioners to monitor progress in a more consistent way. This also provides clarify for patients and families in relation to completion dates for investigations.  </w:t>
      </w:r>
    </w:p>
    <w:p w:rsidR="0072371B" w:rsidRPr="00601DC6" w:rsidRDefault="0072371B" w:rsidP="0072371B">
      <w:pPr>
        <w:rPr>
          <w:rFonts w:cs="Arial"/>
        </w:rPr>
      </w:pPr>
      <w:r w:rsidRPr="00601DC6">
        <w:rPr>
          <w:rFonts w:cs="Arial"/>
        </w:rPr>
        <w:t xml:space="preserve">We ask that </w:t>
      </w:r>
      <w:r>
        <w:rPr>
          <w:rFonts w:cs="Arial"/>
        </w:rPr>
        <w:t>the leaders of all organisations</w:t>
      </w:r>
      <w:r w:rsidRPr="00601DC6">
        <w:rPr>
          <w:rFonts w:cs="Arial"/>
        </w:rPr>
        <w:t xml:space="preserve"> consider this refreshed </w:t>
      </w:r>
      <w:r>
        <w:rPr>
          <w:rFonts w:cs="Arial"/>
        </w:rPr>
        <w:t>F</w:t>
      </w:r>
      <w:r w:rsidRPr="00601DC6">
        <w:rPr>
          <w:rFonts w:cs="Arial"/>
        </w:rPr>
        <w:t xml:space="preserve">ramework and that </w:t>
      </w:r>
      <w:r>
        <w:rPr>
          <w:rFonts w:cs="Arial"/>
        </w:rPr>
        <w:t>M</w:t>
      </w:r>
      <w:r w:rsidRPr="00601DC6">
        <w:rPr>
          <w:rFonts w:cs="Arial"/>
        </w:rPr>
        <w:t xml:space="preserve">edical and </w:t>
      </w:r>
      <w:r>
        <w:rPr>
          <w:rFonts w:cs="Arial"/>
        </w:rPr>
        <w:t>N</w:t>
      </w:r>
      <w:r w:rsidRPr="00601DC6">
        <w:rPr>
          <w:rFonts w:cs="Arial"/>
        </w:rPr>
        <w:t xml:space="preserve">ursing </w:t>
      </w:r>
      <w:r>
        <w:rPr>
          <w:rFonts w:cs="Arial"/>
        </w:rPr>
        <w:t>D</w:t>
      </w:r>
      <w:r w:rsidRPr="00601DC6">
        <w:rPr>
          <w:rFonts w:cs="Arial"/>
        </w:rPr>
        <w:t>irectors</w:t>
      </w:r>
      <w:r>
        <w:rPr>
          <w:rFonts w:cs="Arial"/>
        </w:rPr>
        <w:t xml:space="preserve"> in particular</w:t>
      </w:r>
      <w:r w:rsidRPr="00601DC6">
        <w:rPr>
          <w:rFonts w:cs="Arial"/>
        </w:rPr>
        <w:t xml:space="preserve"> within provider and commissioning organisations </w:t>
      </w:r>
      <w:r>
        <w:rPr>
          <w:rFonts w:cs="Arial"/>
        </w:rPr>
        <w:t>ensure</w:t>
      </w:r>
      <w:r w:rsidRPr="00601DC6">
        <w:rPr>
          <w:rFonts w:cs="Arial"/>
        </w:rPr>
        <w:t xml:space="preserve"> that </w:t>
      </w:r>
      <w:r>
        <w:rPr>
          <w:rFonts w:cs="Arial"/>
        </w:rPr>
        <w:t>it is used to support continuous improvement in</w:t>
      </w:r>
      <w:r w:rsidRPr="00601DC6">
        <w:rPr>
          <w:rFonts w:cs="Arial"/>
        </w:rPr>
        <w:t xml:space="preserve"> the way we identify, investigate and learn from serious incidents </w:t>
      </w:r>
      <w:r>
        <w:rPr>
          <w:rFonts w:cs="Arial"/>
        </w:rPr>
        <w:t xml:space="preserve">in order to prevent </w:t>
      </w:r>
      <w:r w:rsidRPr="00601DC6">
        <w:rPr>
          <w:rFonts w:cs="Arial"/>
        </w:rPr>
        <w:t>avoidable harm</w:t>
      </w:r>
      <w:r>
        <w:rPr>
          <w:rFonts w:cs="Arial"/>
        </w:rPr>
        <w:t xml:space="preserve"> in the future</w:t>
      </w:r>
      <w:r w:rsidRPr="00601DC6">
        <w:rPr>
          <w:rFonts w:cs="Arial"/>
        </w:rPr>
        <w:t>.</w:t>
      </w:r>
    </w:p>
    <w:p w:rsidR="0072371B" w:rsidRDefault="0072371B" w:rsidP="0072371B">
      <w:pPr>
        <w:rPr>
          <w:rFonts w:cs="Arial"/>
          <w:b/>
        </w:rPr>
      </w:pPr>
    </w:p>
    <w:p w:rsidR="0072371B" w:rsidRPr="0055778F" w:rsidRDefault="0072371B" w:rsidP="0072371B">
      <w:pPr>
        <w:rPr>
          <w:rFonts w:cs="Arial"/>
          <w:b/>
        </w:rPr>
      </w:pPr>
      <w:r>
        <w:rPr>
          <w:rFonts w:cs="Arial"/>
          <w:b/>
        </w:rPr>
        <w:t>Dr Mike Durkin</w:t>
      </w:r>
      <w:r>
        <w:rPr>
          <w:rFonts w:cs="Arial"/>
          <w:b/>
        </w:rPr>
        <w:br/>
      </w:r>
      <w:r w:rsidRPr="00601DC6">
        <w:rPr>
          <w:rFonts w:cs="Arial"/>
          <w:b/>
        </w:rPr>
        <w:t>Director of Patient Safety</w:t>
      </w:r>
      <w:r>
        <w:rPr>
          <w:rFonts w:cs="Arial"/>
          <w:b/>
        </w:rPr>
        <w:br/>
      </w:r>
      <w:r w:rsidRPr="00601DC6">
        <w:rPr>
          <w:rFonts w:cs="Arial"/>
          <w:b/>
        </w:rPr>
        <w:t>NHS England</w:t>
      </w:r>
    </w:p>
    <w:p w:rsidR="00137788" w:rsidRDefault="00137788" w:rsidP="0072371B"/>
    <w:p w:rsidR="0072371B" w:rsidRDefault="0072371B" w:rsidP="0072371B">
      <w:bookmarkStart w:id="8" w:name="_Toc414568020"/>
    </w:p>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2371B" w:rsidRDefault="0072371B" w:rsidP="0072371B"/>
    <w:p w:rsidR="00705645" w:rsidRDefault="00705645" w:rsidP="0085461B">
      <w:pPr>
        <w:pStyle w:val="Heading1"/>
      </w:pPr>
      <w:r w:rsidRPr="00705645">
        <w:t>Se</w:t>
      </w:r>
      <w:r w:rsidR="0072371B">
        <w:t>rious Incident Management at a g</w:t>
      </w:r>
      <w:r w:rsidRPr="00705645">
        <w:t>lance</w:t>
      </w:r>
      <w:bookmarkEnd w:id="8"/>
    </w:p>
    <w:p w:rsidR="00705645" w:rsidRPr="00705645" w:rsidRDefault="00705645" w:rsidP="0085461B">
      <w:pPr>
        <w:pStyle w:val="Heading1"/>
      </w:pPr>
    </w:p>
    <w:p w:rsidR="00705645" w:rsidRDefault="00705645" w:rsidP="00705645">
      <w:r w:rsidRPr="00705645">
        <w:t>Serious Incidents in health care are</w:t>
      </w:r>
      <w:r w:rsidR="00AF5961">
        <w:t xml:space="preserve"> adverse events</w:t>
      </w:r>
      <w:r w:rsidRPr="00705645">
        <w:t>, where the consequences to patients, families and carers, staff or organisations are so significant or the potential for learning is so great, that a heighten</w:t>
      </w:r>
      <w:r w:rsidR="00AF5961">
        <w:t>ed level of response is justified</w:t>
      </w:r>
      <w:r w:rsidRPr="00705645">
        <w:t xml:space="preserve">. This </w:t>
      </w:r>
      <w:r w:rsidR="005A7486">
        <w:t>Framework</w:t>
      </w:r>
      <w:r w:rsidRPr="00705645">
        <w:t xml:space="preserve"> describes the circumstances in which such a response may be required and the process and procedures for achieving it</w:t>
      </w:r>
      <w:r w:rsidR="00AF5961">
        <w:t>,</w:t>
      </w:r>
      <w:r w:rsidRPr="00705645">
        <w:t xml:space="preserve"> to ensure that Serious Incident</w:t>
      </w:r>
      <w:r w:rsidR="00AF5961">
        <w:t>s</w:t>
      </w:r>
      <w:r w:rsidRPr="00705645">
        <w:t xml:space="preserve"> are identified correctly, investigated thoroughly and, most importantly, learned from to prevent the likelihood of similar incident</w:t>
      </w:r>
      <w:r w:rsidR="006755D4">
        <w:t>s</w:t>
      </w:r>
      <w:r w:rsidRPr="00705645">
        <w:t xml:space="preserve"> happening again. </w:t>
      </w:r>
    </w:p>
    <w:p w:rsidR="00705645" w:rsidRPr="00705645" w:rsidRDefault="00705645" w:rsidP="00705645"/>
    <w:p w:rsidR="00705645" w:rsidRDefault="00705645" w:rsidP="00705645">
      <w:r w:rsidRPr="00705645">
        <w:t>Serious Incidents include acts or omissions in care that result in; unexpected or avoidable death, unexpected or avoidable injury resulting in serious harm -</w:t>
      </w:r>
      <w:r w:rsidR="00AF5961">
        <w:t xml:space="preserve"> </w:t>
      </w:r>
      <w:r w:rsidRPr="00705645">
        <w:t xml:space="preserve">including those where the injury required treatment to prevent death or serious harm, abuse, Never Events, incidents that prevent (or threaten to prevent) an organisation’s ability to continue to deliver an acceptable quality of healthcare services and incidents that cause widespread public concern resulting in a loss of confidence in healthcare services. </w:t>
      </w:r>
    </w:p>
    <w:p w:rsidR="00705645" w:rsidRPr="00705645" w:rsidRDefault="00705645" w:rsidP="00705645"/>
    <w:p w:rsidR="00705645" w:rsidRDefault="00705645" w:rsidP="00705645">
      <w:r w:rsidRPr="00705645">
        <w:t>The needs of those affected should be the primary concern of those involved in the response to and the investigation of serious incidents. Patients and their families/carers and victims’ families must be involved and supported throughout the investigation process.</w:t>
      </w:r>
    </w:p>
    <w:p w:rsidR="00705645" w:rsidRPr="00705645" w:rsidRDefault="00705645" w:rsidP="00705645"/>
    <w:p w:rsidR="00705645" w:rsidRDefault="00705645" w:rsidP="00705645">
      <w:r w:rsidRPr="00705645">
        <w:t>Providers are responsible for the safety of their patients, visitors and others using their services, and must ensure robust systems are in place for recognising, reporting, investigating and responding to Serious Incidents and for arranging and resourcing investigations. Commissioners are accountable for quality assuring the robustness of their providers’ Serious Incident investigations and the development and implementation of effective actions</w:t>
      </w:r>
      <w:r w:rsidR="00A926DD">
        <w:t>, by the provider,</w:t>
      </w:r>
      <w:r w:rsidR="0085461B">
        <w:t xml:space="preserve"> to prevent recurrence of similar incidents</w:t>
      </w:r>
      <w:r w:rsidRPr="00705645">
        <w:t>.</w:t>
      </w:r>
    </w:p>
    <w:p w:rsidR="00705645" w:rsidRPr="00705645" w:rsidRDefault="00705645" w:rsidP="00705645"/>
    <w:p w:rsidR="00705645" w:rsidRDefault="00705645" w:rsidP="00705645">
      <w:r w:rsidRPr="00705645">
        <w:t xml:space="preserve">Investigation’s under this </w:t>
      </w:r>
      <w:r w:rsidR="005A7486">
        <w:t>Framework</w:t>
      </w:r>
      <w:r w:rsidRPr="00705645">
        <w:t xml:space="preserve"> are not conducted to hold any individual or organisation to account, as there are other processes for that </w:t>
      </w:r>
      <w:r w:rsidR="0085461B">
        <w:t xml:space="preserve">purpose </w:t>
      </w:r>
      <w:r w:rsidRPr="00705645">
        <w:t>including</w:t>
      </w:r>
      <w:r w:rsidR="006755D4">
        <w:t>;</w:t>
      </w:r>
      <w:r w:rsidRPr="00705645">
        <w:t xml:space="preserve"> criminal proceedings, disciplinary procedures, employment law and systems of service and professional regulation, such as the Care Quality Commission</w:t>
      </w:r>
      <w:r w:rsidR="001028BB">
        <w:t xml:space="preserve"> (CQC)</w:t>
      </w:r>
      <w:r w:rsidRPr="00705645">
        <w:t xml:space="preserve"> and the Nursing and Midwifery Council, the Health and Care Professions Council, and the General Medical Council.</w:t>
      </w:r>
      <w:r w:rsidR="00AF5961" w:rsidRPr="00AF5961">
        <w:t xml:space="preserve"> Investigations should link to these other processes where appropriate.</w:t>
      </w:r>
    </w:p>
    <w:p w:rsidR="00705645" w:rsidRPr="00705645" w:rsidRDefault="00705645" w:rsidP="00705645"/>
    <w:p w:rsidR="00705645" w:rsidRDefault="00705645" w:rsidP="00705645">
      <w:r w:rsidRPr="00705645">
        <w:t>Serious Incidents must be declared internally as soon as possible and immediate action must be taken to</w:t>
      </w:r>
      <w:r w:rsidR="0085461B">
        <w:t xml:space="preserve"> establish the facts,</w:t>
      </w:r>
      <w:r w:rsidRPr="00705645">
        <w:t xml:space="preserve"> ensure the safety of the patient(s), </w:t>
      </w:r>
      <w:r w:rsidR="0085461B">
        <w:t>other services users and staff</w:t>
      </w:r>
      <w:r w:rsidR="00A926DD">
        <w:t>,</w:t>
      </w:r>
      <w:r w:rsidR="0085461B">
        <w:t xml:space="preserve"> and to </w:t>
      </w:r>
      <w:r w:rsidRPr="00705645">
        <w:t>secure all relevant evidence to support further investigation.</w:t>
      </w:r>
      <w:r w:rsidR="0085461B">
        <w:t xml:space="preserve"> Serious I</w:t>
      </w:r>
      <w:r w:rsidRPr="00705645">
        <w:t>ncident</w:t>
      </w:r>
      <w:r w:rsidR="00A926DD">
        <w:t>s</w:t>
      </w:r>
      <w:r w:rsidRPr="00705645">
        <w:t xml:space="preserve"> should be disclosed as soon as possible to the patient, their family (including victims’ families where applicable) or carer</w:t>
      </w:r>
      <w:r w:rsidR="0085461B">
        <w:t>s</w:t>
      </w:r>
      <w:r w:rsidRPr="00705645">
        <w:t>. The commissioner must be informed (</w:t>
      </w:r>
      <w:r w:rsidR="0085461B">
        <w:t xml:space="preserve">via STEIS </w:t>
      </w:r>
      <w:r w:rsidRPr="00705645">
        <w:t>and/or verbally if required) of a Serious Incident within 2 working days of it being discovered. Other regulatory, statutory and advisory bodies, such CQC, Monitor or</w:t>
      </w:r>
      <w:r w:rsidR="006755D4">
        <w:t xml:space="preserve"> </w:t>
      </w:r>
      <w:r w:rsidRPr="00705645">
        <w:t>N</w:t>
      </w:r>
      <w:r w:rsidR="001028BB">
        <w:t xml:space="preserve">HS </w:t>
      </w:r>
      <w:r w:rsidRPr="00705645">
        <w:t>T</w:t>
      </w:r>
      <w:r w:rsidR="001028BB">
        <w:t xml:space="preserve">rust </w:t>
      </w:r>
      <w:r w:rsidRPr="00705645">
        <w:t>D</w:t>
      </w:r>
      <w:r w:rsidR="001028BB">
        <w:t xml:space="preserve">evelopment </w:t>
      </w:r>
      <w:r w:rsidRPr="00705645">
        <w:t>A</w:t>
      </w:r>
      <w:r w:rsidR="001028BB">
        <w:t>uthority</w:t>
      </w:r>
      <w:r w:rsidRPr="00705645">
        <w:t>, must also be informed as appropriate without delay.</w:t>
      </w:r>
      <w:r w:rsidR="0085461B">
        <w:t xml:space="preserve"> Discussions should be held with other partners</w:t>
      </w:r>
      <w:r w:rsidR="0096774A">
        <w:t xml:space="preserve"> (including the police or local authority for example)</w:t>
      </w:r>
      <w:r w:rsidR="0085461B">
        <w:t xml:space="preserve"> if other</w:t>
      </w:r>
      <w:r w:rsidR="0096774A">
        <w:t xml:space="preserve"> externally led</w:t>
      </w:r>
      <w:r w:rsidR="0085461B">
        <w:t xml:space="preserve"> i</w:t>
      </w:r>
      <w:r w:rsidR="0096774A">
        <w:t xml:space="preserve">nvestigations are being </w:t>
      </w:r>
      <w:r w:rsidR="0096774A">
        <w:lastRenderedPageBreak/>
        <w:t xml:space="preserve">undertaken. This is to ensure investigations are managed appropriately, that the scope and purpose is clearly understood (and those affected informed) and that duplication of effort is minimised wherever possible. </w:t>
      </w:r>
    </w:p>
    <w:p w:rsidR="00705645" w:rsidRPr="00705645" w:rsidRDefault="00705645" w:rsidP="00705645"/>
    <w:p w:rsidR="0096774A" w:rsidRDefault="00705645" w:rsidP="00705645">
      <w:r w:rsidRPr="00705645">
        <w:t xml:space="preserve">The recognised system-based method for conducting investigations, commonly known as Root Cause Analysis (RCA), </w:t>
      </w:r>
      <w:r w:rsidR="0096774A">
        <w:t>should</w:t>
      </w:r>
      <w:r w:rsidRPr="00705645">
        <w:t xml:space="preserve"> be applied for the investigation of Serious Incidents. This endorses three levels of investigation (for which templates and guidance are provided); 1) concise investigations -suited to less complex incidents which can be managed by individuals or a small group of individuals at a local level  2) comprehensive investigations - suited to complex issues which should be managed by a multidisciplinary team involving experts and/or specialist investigators 3) independent investigations - suited to incidents where the integrity of the internal investigation is likely to be challenged or where it will be difficult for an organisation to conduct an objective investigation internally due to the size of organisation</w:t>
      </w:r>
      <w:r w:rsidR="0096774A">
        <w:t>,</w:t>
      </w:r>
      <w:r w:rsidRPr="00705645">
        <w:t xml:space="preserve"> or the capacity/ capability of the available individuals and/or number of organisations involved. The level of investigation should be proportionate to the individual</w:t>
      </w:r>
      <w:r w:rsidR="0096774A">
        <w:t xml:space="preserve"> incident</w:t>
      </w:r>
      <w:r w:rsidRPr="00705645">
        <w:t>. Concise and comprehensive investigation</w:t>
      </w:r>
      <w:r w:rsidR="0096774A">
        <w:t>s</w:t>
      </w:r>
      <w:r w:rsidRPr="00705645">
        <w:t xml:space="preserve"> should be completed within 60 days and independent investigations should be completed within 6 months of being commissioned. </w:t>
      </w:r>
    </w:p>
    <w:p w:rsidR="0096774A" w:rsidRDefault="0096774A" w:rsidP="00705645"/>
    <w:p w:rsidR="00705645" w:rsidRPr="00705645" w:rsidRDefault="0096774A" w:rsidP="00705645">
      <w:r>
        <w:t xml:space="preserve">Serious </w:t>
      </w:r>
      <w:r w:rsidR="00705645" w:rsidRPr="00705645">
        <w:t xml:space="preserve">Incidents </w:t>
      </w:r>
      <w:r w:rsidR="00AF5961">
        <w:t>should be</w:t>
      </w:r>
      <w:r w:rsidR="00705645" w:rsidRPr="00705645">
        <w:t xml:space="preserve"> closed by the relevant commissioner when they are satisfied that the investigation report and action plan meets the required standard. Incidents can be closed before all actions are complete but there must be mechanisms in place for monitoring on-going implementation. This ensures that the fundamental purpose of investigation </w:t>
      </w:r>
      <w:r>
        <w:t>(</w:t>
      </w:r>
      <w:r w:rsidR="00705645" w:rsidRPr="00705645">
        <w:t>i.e. to ensure that lessons can be learnt to prevent similar incidents</w:t>
      </w:r>
      <w:r>
        <w:t xml:space="preserve"> recurring)</w:t>
      </w:r>
      <w:r w:rsidR="00705645" w:rsidRPr="00705645">
        <w:t xml:space="preserve"> is realised. </w:t>
      </w:r>
    </w:p>
    <w:p w:rsidR="00BD0523" w:rsidRDefault="00BD0523" w:rsidP="00A716D1">
      <w:pPr>
        <w:rPr>
          <w:rFonts w:cs="Arial"/>
          <w:color w:val="0072C6"/>
          <w:kern w:val="32"/>
          <w:sz w:val="32"/>
          <w:szCs w:val="32"/>
        </w:rPr>
      </w:pPr>
    </w:p>
    <w:p w:rsidR="00BD0523" w:rsidRDefault="00F623F3" w:rsidP="001D3373">
      <w:pPr>
        <w:pStyle w:val="Heading1"/>
      </w:pPr>
      <w:bookmarkStart w:id="9" w:name="_Toc414568021"/>
      <w:r>
        <w:t>Policy statement</w:t>
      </w:r>
      <w:bookmarkEnd w:id="9"/>
    </w:p>
    <w:p w:rsidR="005868C3" w:rsidRDefault="005868C3" w:rsidP="005A4142"/>
    <w:p w:rsidR="001B2071" w:rsidRPr="007E0C49" w:rsidRDefault="001B2071" w:rsidP="00FE1E54">
      <w:pPr>
        <w:widowControl w:val="0"/>
        <w:tabs>
          <w:tab w:val="left" w:pos="283"/>
        </w:tabs>
        <w:suppressAutoHyphens/>
        <w:autoSpaceDE w:val="0"/>
        <w:autoSpaceDN w:val="0"/>
        <w:adjustRightInd w:val="0"/>
        <w:textAlignment w:val="center"/>
        <w:rPr>
          <w:rFonts w:eastAsia="MS Mincho" w:cstheme="minorHAnsi"/>
          <w:szCs w:val="24"/>
        </w:rPr>
      </w:pPr>
      <w:r w:rsidRPr="00FF027C">
        <w:rPr>
          <w:rFonts w:eastAsia="MS Mincho" w:cstheme="minorHAnsi"/>
          <w:szCs w:val="24"/>
        </w:rPr>
        <w:t xml:space="preserve">This revised </w:t>
      </w:r>
      <w:r>
        <w:rPr>
          <w:rFonts w:eastAsia="MS Mincho" w:cstheme="minorHAnsi"/>
          <w:szCs w:val="24"/>
        </w:rPr>
        <w:t>Serious Incident</w:t>
      </w:r>
      <w:r w:rsidRPr="00FF027C">
        <w:rPr>
          <w:rFonts w:eastAsia="MS Mincho" w:cstheme="minorHAnsi"/>
          <w:szCs w:val="24"/>
          <w:vertAlign w:val="superscript"/>
        </w:rPr>
        <w:footnoteReference w:id="1"/>
      </w:r>
      <w:r w:rsidRPr="00FF027C">
        <w:rPr>
          <w:rFonts w:eastAsia="MS Mincho" w:cstheme="minorHAnsi"/>
          <w:szCs w:val="24"/>
        </w:rPr>
        <w:t xml:space="preserve"> </w:t>
      </w:r>
      <w:r w:rsidR="005A7486">
        <w:rPr>
          <w:rFonts w:eastAsia="MS Mincho" w:cstheme="minorHAnsi"/>
          <w:szCs w:val="24"/>
        </w:rPr>
        <w:t>Framework</w:t>
      </w:r>
      <w:r w:rsidRPr="00FF027C">
        <w:rPr>
          <w:rFonts w:eastAsia="MS Mincho" w:cstheme="minorHAnsi"/>
          <w:szCs w:val="24"/>
        </w:rPr>
        <w:t xml:space="preserve"> builds on </w:t>
      </w:r>
      <w:r>
        <w:rPr>
          <w:rFonts w:eastAsia="MS Mincho" w:cstheme="minorHAnsi"/>
          <w:szCs w:val="24"/>
        </w:rPr>
        <w:t xml:space="preserve">and replaces the National </w:t>
      </w:r>
      <w:r w:rsidR="005A7486">
        <w:rPr>
          <w:rFonts w:eastAsia="MS Mincho" w:cstheme="minorHAnsi"/>
          <w:szCs w:val="24"/>
        </w:rPr>
        <w:t>Framework</w:t>
      </w:r>
      <w:r>
        <w:rPr>
          <w:rFonts w:eastAsia="MS Mincho" w:cstheme="minorHAnsi"/>
          <w:szCs w:val="24"/>
        </w:rPr>
        <w:t xml:space="preserve"> for Reporting and Learning from Serious Incidents Requiring </w:t>
      </w:r>
      <w:r w:rsidRPr="007E0C49">
        <w:rPr>
          <w:rFonts w:eastAsia="MS Mincho" w:cstheme="minorHAnsi"/>
          <w:szCs w:val="24"/>
        </w:rPr>
        <w:t>Investigation</w:t>
      </w:r>
      <w:r w:rsidRPr="00A82772">
        <w:t xml:space="preserve"> </w:t>
      </w:r>
      <w:r w:rsidRPr="00A82772">
        <w:rPr>
          <w:rFonts w:eastAsia="MS Mincho" w:cstheme="minorHAnsi"/>
          <w:szCs w:val="24"/>
        </w:rPr>
        <w:t>issued by the National Patient Safety Agency (</w:t>
      </w:r>
      <w:r w:rsidR="00C503C3">
        <w:rPr>
          <w:rFonts w:eastAsia="MS Mincho" w:cstheme="minorHAnsi"/>
          <w:szCs w:val="24"/>
        </w:rPr>
        <w:t xml:space="preserve">NPSA, </w:t>
      </w:r>
      <w:r>
        <w:rPr>
          <w:rFonts w:eastAsia="MS Mincho" w:cstheme="minorHAnsi"/>
          <w:szCs w:val="24"/>
        </w:rPr>
        <w:t xml:space="preserve">March 2010) </w:t>
      </w:r>
      <w:r w:rsidRPr="00FF027C">
        <w:rPr>
          <w:rFonts w:eastAsia="MS Mincho" w:cstheme="minorHAnsi"/>
          <w:szCs w:val="24"/>
        </w:rPr>
        <w:t xml:space="preserve">and </w:t>
      </w:r>
      <w:r>
        <w:rPr>
          <w:rFonts w:eastAsia="MS Mincho" w:cstheme="minorHAnsi"/>
          <w:szCs w:val="24"/>
        </w:rPr>
        <w:t xml:space="preserve">NHS England’s </w:t>
      </w:r>
      <w:r w:rsidRPr="00FF027C">
        <w:rPr>
          <w:rFonts w:eastAsia="MS Mincho" w:cstheme="minorHAnsi"/>
          <w:szCs w:val="24"/>
        </w:rPr>
        <w:t xml:space="preserve">Serious Incident </w:t>
      </w:r>
      <w:r w:rsidR="005A7486">
        <w:rPr>
          <w:rFonts w:eastAsia="MS Mincho" w:cstheme="minorHAnsi"/>
          <w:szCs w:val="24"/>
        </w:rPr>
        <w:t>Framework</w:t>
      </w:r>
      <w:r w:rsidRPr="00FF027C">
        <w:rPr>
          <w:rFonts w:eastAsia="MS Mincho" w:cstheme="minorHAnsi"/>
          <w:szCs w:val="24"/>
        </w:rPr>
        <w:t xml:space="preserve"> (March 2013)</w:t>
      </w:r>
      <w:r>
        <w:rPr>
          <w:rFonts w:eastAsia="MS Mincho" w:cstheme="minorHAnsi"/>
          <w:szCs w:val="24"/>
        </w:rPr>
        <w:t>.</w:t>
      </w:r>
      <w:r w:rsidR="00684D78">
        <w:rPr>
          <w:rFonts w:eastAsia="MS Mincho" w:cstheme="minorHAnsi"/>
          <w:szCs w:val="24"/>
        </w:rPr>
        <w:t xml:space="preserve"> </w:t>
      </w:r>
      <w:r w:rsidR="00684D78" w:rsidRPr="00F25AC1">
        <w:rPr>
          <w:rFonts w:eastAsia="MS Mincho" w:cstheme="minorHAnsi"/>
          <w:szCs w:val="24"/>
        </w:rPr>
        <w:t xml:space="preserve">It also replaces </w:t>
      </w:r>
      <w:r w:rsidR="005D6001" w:rsidRPr="00F25AC1">
        <w:rPr>
          <w:rFonts w:eastAsia="MS Mincho" w:cstheme="minorHAnsi"/>
          <w:szCs w:val="24"/>
        </w:rPr>
        <w:t>and the NPSA</w:t>
      </w:r>
      <w:r w:rsidR="00A87C12" w:rsidRPr="00F25AC1">
        <w:t xml:space="preserve"> </w:t>
      </w:r>
      <w:r w:rsidR="00A87C12" w:rsidRPr="00F25AC1">
        <w:rPr>
          <w:rFonts w:eastAsia="MS Mincho" w:cstheme="minorHAnsi"/>
          <w:szCs w:val="24"/>
        </w:rPr>
        <w:t>Independent investigation of serious patient safety incidents in mental health services,</w:t>
      </w:r>
      <w:r w:rsidR="00593DA6" w:rsidRPr="00F25AC1">
        <w:rPr>
          <w:rFonts w:eastAsia="MS Mincho" w:cstheme="minorHAnsi"/>
          <w:szCs w:val="24"/>
        </w:rPr>
        <w:t xml:space="preserve"> Good Practice Guide (2008)</w:t>
      </w:r>
      <w:r w:rsidR="00B27ECD">
        <w:rPr>
          <w:rFonts w:eastAsia="MS Mincho" w:cstheme="minorHAnsi"/>
          <w:szCs w:val="24"/>
        </w:rPr>
        <w:t xml:space="preserve">. </w:t>
      </w:r>
      <w:r w:rsidR="00BC3C77" w:rsidRPr="00BC3C77">
        <w:rPr>
          <w:rFonts w:eastAsia="MS Mincho" w:cstheme="minorHAnsi"/>
          <w:szCs w:val="24"/>
        </w:rPr>
        <w:t>The Department of Health is currently reviewing its 2005 guidance ‘Independent investigation of adverse events in mental health services</w:t>
      </w:r>
      <w:r w:rsidR="001028BB">
        <w:rPr>
          <w:rStyle w:val="FootnoteReference"/>
          <w:rFonts w:eastAsia="MS Mincho" w:cstheme="minorHAnsi"/>
          <w:szCs w:val="24"/>
        </w:rPr>
        <w:footnoteReference w:id="2"/>
      </w:r>
      <w:r w:rsidR="00BC3C77" w:rsidRPr="00BC3C77">
        <w:rPr>
          <w:rFonts w:eastAsia="MS Mincho" w:cstheme="minorHAnsi"/>
          <w:szCs w:val="24"/>
        </w:rPr>
        <w:t>’ and further guidance may be provided in relation to issues associated with Article 2 of the European Convention on Human Rights – the right to life</w:t>
      </w:r>
      <w:r w:rsidR="00BC3C77">
        <w:rPr>
          <w:rFonts w:eastAsia="MS Mincho" w:cstheme="minorHAnsi"/>
          <w:szCs w:val="24"/>
        </w:rPr>
        <w:t>. Unt</w:t>
      </w:r>
      <w:r w:rsidR="009C1A45">
        <w:rPr>
          <w:rFonts w:eastAsia="MS Mincho" w:cstheme="minorHAnsi"/>
          <w:szCs w:val="24"/>
        </w:rPr>
        <w:t>il the 2005 guidance is replaced,</w:t>
      </w:r>
      <w:r w:rsidR="00BC3C77">
        <w:rPr>
          <w:rFonts w:eastAsia="MS Mincho" w:cstheme="minorHAnsi"/>
          <w:szCs w:val="24"/>
        </w:rPr>
        <w:t xml:space="preserve"> it should be read in conjunction with this </w:t>
      </w:r>
      <w:r w:rsidR="005A7486">
        <w:rPr>
          <w:rFonts w:eastAsia="MS Mincho" w:cstheme="minorHAnsi"/>
          <w:szCs w:val="24"/>
        </w:rPr>
        <w:t>Framework</w:t>
      </w:r>
      <w:r w:rsidR="00BC3C77">
        <w:rPr>
          <w:rFonts w:eastAsia="MS Mincho" w:cstheme="minorHAnsi"/>
          <w:szCs w:val="24"/>
        </w:rPr>
        <w:t xml:space="preserve">. </w:t>
      </w:r>
    </w:p>
    <w:p w:rsidR="00FE1E54" w:rsidRDefault="00FE1E54" w:rsidP="00FE1E54"/>
    <w:p w:rsidR="00875DF2" w:rsidRDefault="006755D4" w:rsidP="00FE1E54">
      <w:r>
        <w:t>This Framework</w:t>
      </w:r>
      <w:r w:rsidR="006F5B51">
        <w:t xml:space="preserve"> </w:t>
      </w:r>
      <w:r w:rsidR="00314362">
        <w:t>is designed to inform</w:t>
      </w:r>
      <w:r w:rsidR="006F5B51" w:rsidRPr="00687BC0">
        <w:t xml:space="preserve"> staff providing and commissioning </w:t>
      </w:r>
      <w:r w:rsidR="006F5B51" w:rsidRPr="00466603">
        <w:t xml:space="preserve">NHS funded services </w:t>
      </w:r>
      <w:r w:rsidR="00447C11" w:rsidRPr="00466603">
        <w:t>in England</w:t>
      </w:r>
      <w:r w:rsidR="001E58E5" w:rsidRPr="00466603">
        <w:rPr>
          <w:rStyle w:val="FootnoteReference"/>
        </w:rPr>
        <w:footnoteReference w:id="3"/>
      </w:r>
      <w:r w:rsidR="00447C11">
        <w:t xml:space="preserve"> </w:t>
      </w:r>
      <w:r w:rsidR="006F5B51" w:rsidRPr="00687BC0">
        <w:t>who may be involved in identifying</w:t>
      </w:r>
      <w:r w:rsidR="006F5B51">
        <w:t>, investigating</w:t>
      </w:r>
      <w:r w:rsidR="006F5B51" w:rsidRPr="00687BC0">
        <w:t xml:space="preserve"> or managing a </w:t>
      </w:r>
      <w:r w:rsidR="006F5B51" w:rsidRPr="00687BC0">
        <w:lastRenderedPageBreak/>
        <w:t xml:space="preserve">serious incident. </w:t>
      </w:r>
      <w:r w:rsidR="00875DF2" w:rsidRPr="00875DF2">
        <w:t>It is relevant to all NHS-funded care in the primary, community, secondary and tertiary sectors. This includes private sector</w:t>
      </w:r>
      <w:r w:rsidR="00314362">
        <w:t xml:space="preserve"> organisations</w:t>
      </w:r>
      <w:r w:rsidR="00875DF2" w:rsidRPr="00875DF2">
        <w:t xml:space="preserve"> providing NHS</w:t>
      </w:r>
      <w:r w:rsidR="00314362">
        <w:t>-</w:t>
      </w:r>
      <w:r w:rsidR="00875DF2" w:rsidRPr="00875DF2">
        <w:t>funded services.</w:t>
      </w:r>
    </w:p>
    <w:p w:rsidR="00F82E02" w:rsidRDefault="00F82E02" w:rsidP="00FE1E54"/>
    <w:p w:rsidR="00385ACE" w:rsidRDefault="00385ACE" w:rsidP="00FE1E54">
      <w:r w:rsidRPr="007102BB">
        <w:t xml:space="preserve">Investigations carried out under this </w:t>
      </w:r>
      <w:r w:rsidR="005A7486">
        <w:t>Framework</w:t>
      </w:r>
      <w:r w:rsidRPr="007102BB">
        <w:t xml:space="preserve"> are conducted for the purposes of learning</w:t>
      </w:r>
      <w:r>
        <w:t xml:space="preserve"> to prevent recurrence. They</w:t>
      </w:r>
      <w:r w:rsidRPr="007102BB">
        <w:t xml:space="preserve"> are not </w:t>
      </w:r>
      <w:r>
        <w:t xml:space="preserve">inquiries into how a person died (where applicable) as this is a matter for Coroners. Neither are they conducted </w:t>
      </w:r>
      <w:r w:rsidRPr="007102BB">
        <w:t>to hold any individua</w:t>
      </w:r>
      <w:r w:rsidR="00335DAC">
        <w:t>l or organisation to account as o</w:t>
      </w:r>
      <w:r w:rsidRPr="007102BB">
        <w:t xml:space="preserve">ther </w:t>
      </w:r>
      <w:r w:rsidR="003C06BA">
        <w:t>processes</w:t>
      </w:r>
      <w:r w:rsidRPr="007102BB">
        <w:t xml:space="preserve"> exist for that</w:t>
      </w:r>
      <w:r w:rsidR="003C06BA">
        <w:t xml:space="preserve"> purpose</w:t>
      </w:r>
      <w:r w:rsidRPr="007102BB">
        <w:t xml:space="preserve"> including: criminal or civil proceedings, disciplinary procedures, employment law and systems of service and professional regulation, such as the Care Quality Commission and the Nursing and Midwifery Council, the Health and Care Professions Council, and the General Medical Council.</w:t>
      </w:r>
      <w:r>
        <w:t xml:space="preserve"> In circumstances where the</w:t>
      </w:r>
      <w:r w:rsidRPr="005013FE">
        <w:t xml:space="preserve"> actions of other</w:t>
      </w:r>
      <w:r>
        <w:t xml:space="preserve"> agencies are required then those agencies</w:t>
      </w:r>
      <w:r w:rsidRPr="005013FE">
        <w:t xml:space="preserve"> must be appropriately inform</w:t>
      </w:r>
      <w:r>
        <w:t xml:space="preserve">ed and relevant protocols, outside the scope of this </w:t>
      </w:r>
      <w:r w:rsidR="005A7486">
        <w:t>Framework</w:t>
      </w:r>
      <w:r>
        <w:t xml:space="preserve">, must be followed. </w:t>
      </w:r>
    </w:p>
    <w:p w:rsidR="00F82E02" w:rsidRDefault="00F82E02" w:rsidP="00FE1E54"/>
    <w:p w:rsidR="00513CBB" w:rsidRDefault="00513CBB" w:rsidP="00513CBB">
      <w:pPr>
        <w:pStyle w:val="Heading1"/>
      </w:pPr>
      <w:bookmarkStart w:id="10" w:name="_Toc414568022"/>
      <w:r>
        <w:t>Acknowledgements</w:t>
      </w:r>
      <w:bookmarkEnd w:id="10"/>
    </w:p>
    <w:p w:rsidR="00875DF2" w:rsidRDefault="00875DF2" w:rsidP="006A0052"/>
    <w:p w:rsidR="00513CBB" w:rsidRDefault="00513CBB" w:rsidP="006A0052">
      <w:r>
        <w:t xml:space="preserve">This </w:t>
      </w:r>
      <w:r w:rsidR="005A7486">
        <w:t>Framework</w:t>
      </w:r>
      <w:r>
        <w:t xml:space="preserve"> has been developed in collaboration with healthcare providers, commissioners, regulatory and supervisory bodie</w:t>
      </w:r>
      <w:r w:rsidR="006156D5">
        <w:t>s, patients, patient and victim’s</w:t>
      </w:r>
      <w:r>
        <w:t xml:space="preserve"> families and their representatives, patient safety experts and independent expert advisors for investigation within healthcare. The Patient Safety Domain sincerely thanks all individuals and groups of individuals who contributed towards the development of this </w:t>
      </w:r>
      <w:r w:rsidR="005A7486">
        <w:t>Framework</w:t>
      </w:r>
      <w:r>
        <w:t xml:space="preserve">.  </w:t>
      </w:r>
    </w:p>
    <w:p w:rsidR="00513CBB" w:rsidRDefault="00513CBB" w:rsidP="006A0052"/>
    <w:p w:rsidR="00010C20" w:rsidRDefault="00010C20" w:rsidP="001D3373">
      <w:pPr>
        <w:pStyle w:val="Heading1"/>
      </w:pPr>
      <w:bookmarkStart w:id="11" w:name="_Toc414568023"/>
      <w:r>
        <w:t>Purpose</w:t>
      </w:r>
      <w:bookmarkEnd w:id="11"/>
      <w:r>
        <w:t xml:space="preserve"> </w:t>
      </w:r>
    </w:p>
    <w:p w:rsidR="00010C20" w:rsidRDefault="00010C20" w:rsidP="00010C20">
      <w:pPr>
        <w:pStyle w:val="Heading1"/>
      </w:pPr>
    </w:p>
    <w:p w:rsidR="00F82E02" w:rsidRDefault="006F5B51" w:rsidP="006F5B51">
      <w:r>
        <w:t xml:space="preserve">The </w:t>
      </w:r>
      <w:r w:rsidR="005A7486">
        <w:t>Framework</w:t>
      </w:r>
      <w:r>
        <w:t xml:space="preserve"> seeks to support the NHS to ensure that robust systems are in place for reporting, investigating and responding to serious incidents so that lessons are learned and appropriate action </w:t>
      </w:r>
      <w:r w:rsidR="00980E0A">
        <w:t>taken to prevent future harm.</w:t>
      </w:r>
      <w:r w:rsidR="00F82E02">
        <w:t xml:space="preserve"> </w:t>
      </w:r>
    </w:p>
    <w:p w:rsidR="00F82E02" w:rsidRDefault="00F82E02" w:rsidP="006F5B51"/>
    <w:p w:rsidR="006F5B51" w:rsidRDefault="005A7486" w:rsidP="006F5B51">
      <w:r>
        <w:t>The Framework</w:t>
      </w:r>
      <w:r w:rsidR="00980E0A">
        <w:t xml:space="preserve"> is split into three parts</w:t>
      </w:r>
      <w:r w:rsidR="006F5B51">
        <w:t>;</w:t>
      </w:r>
    </w:p>
    <w:p w:rsidR="003A0E06" w:rsidRDefault="003A0E06" w:rsidP="006F5B51"/>
    <w:p w:rsidR="00980E0A" w:rsidRDefault="00DC2EBB" w:rsidP="0072371B">
      <w:pPr>
        <w:pStyle w:val="ListParagraph"/>
        <w:numPr>
          <w:ilvl w:val="0"/>
          <w:numId w:val="15"/>
        </w:numPr>
      </w:pPr>
      <w:r w:rsidRPr="00DD4BC4">
        <w:rPr>
          <w:b/>
        </w:rPr>
        <w:t>Part O</w:t>
      </w:r>
      <w:r w:rsidR="00980E0A" w:rsidRPr="00DD4BC4">
        <w:rPr>
          <w:b/>
        </w:rPr>
        <w:t>ne: Definitions and Thresholds</w:t>
      </w:r>
      <w:r w:rsidR="00314362">
        <w:rPr>
          <w:b/>
        </w:rPr>
        <w:t xml:space="preserve"> </w:t>
      </w:r>
      <w:r w:rsidR="00980E0A">
        <w:t>- sets out what a</w:t>
      </w:r>
      <w:r w:rsidR="006F5B51">
        <w:t xml:space="preserve"> serious incident</w:t>
      </w:r>
      <w:r w:rsidR="00980E0A">
        <w:t xml:space="preserve"> is</w:t>
      </w:r>
      <w:r w:rsidR="006F5B51">
        <w:t xml:space="preserve"> and </w:t>
      </w:r>
      <w:r w:rsidR="00980E0A">
        <w:t xml:space="preserve">how serious incidents are identified. This section also outlines how the </w:t>
      </w:r>
      <w:r w:rsidR="005A7486">
        <w:t>Framework</w:t>
      </w:r>
      <w:r w:rsidR="00980E0A">
        <w:t xml:space="preserve"> must be applied in various settings</w:t>
      </w:r>
      <w:r w:rsidR="00D50654">
        <w:t>.</w:t>
      </w:r>
    </w:p>
    <w:p w:rsidR="00DC2EBB" w:rsidRDefault="00980E0A" w:rsidP="0072371B">
      <w:pPr>
        <w:pStyle w:val="ListParagraph"/>
        <w:numPr>
          <w:ilvl w:val="0"/>
          <w:numId w:val="15"/>
        </w:numPr>
      </w:pPr>
      <w:r w:rsidRPr="00DD4BC4">
        <w:rPr>
          <w:b/>
        </w:rPr>
        <w:t xml:space="preserve">Part </w:t>
      </w:r>
      <w:r w:rsidR="00DC2EBB" w:rsidRPr="00DD4BC4">
        <w:rPr>
          <w:b/>
        </w:rPr>
        <w:t>T</w:t>
      </w:r>
      <w:r w:rsidRPr="00DD4BC4">
        <w:rPr>
          <w:b/>
        </w:rPr>
        <w:t>wo: Underpinning Principles</w:t>
      </w:r>
      <w:r w:rsidR="00314362">
        <w:rPr>
          <w:b/>
        </w:rPr>
        <w:t xml:space="preserve"> </w:t>
      </w:r>
      <w:r>
        <w:t>- outlines the principles for managing serious incident</w:t>
      </w:r>
      <w:r w:rsidR="00684D78">
        <w:t>s. I</w:t>
      </w:r>
      <w:r w:rsidR="00314362">
        <w:t>t</w:t>
      </w:r>
      <w:r w:rsidR="00DC2EBB">
        <w:t xml:space="preserve"> also </w:t>
      </w:r>
      <w:r w:rsidR="006F5B51">
        <w:t>clarifies</w:t>
      </w:r>
      <w:r w:rsidR="00684D78">
        <w:t xml:space="preserve"> the</w:t>
      </w:r>
      <w:r w:rsidR="006F5B51">
        <w:t xml:space="preserve"> roles and responsibilities</w:t>
      </w:r>
      <w:r w:rsidR="00DC2EBB">
        <w:t xml:space="preserve"> in relation to</w:t>
      </w:r>
      <w:r w:rsidR="00D50654">
        <w:t xml:space="preserve"> serious incident management,</w:t>
      </w:r>
      <w:r w:rsidR="00DC2EBB">
        <w:t xml:space="preserve"> </w:t>
      </w:r>
      <w:r w:rsidR="00684D78">
        <w:t>makes reference to</w:t>
      </w:r>
      <w:r w:rsidR="006F5B51">
        <w:t xml:space="preserve"> legal and regulatory requirements</w:t>
      </w:r>
      <w:r w:rsidR="00D50654">
        <w:t xml:space="preserve"> and signpost</w:t>
      </w:r>
      <w:r w:rsidR="00084753">
        <w:t>s</w:t>
      </w:r>
      <w:r w:rsidR="00D50654">
        <w:t xml:space="preserve"> to tools and resources.</w:t>
      </w:r>
    </w:p>
    <w:p w:rsidR="00687BC0" w:rsidRPr="00687BC0" w:rsidRDefault="00DC2EBB" w:rsidP="0072371B">
      <w:pPr>
        <w:pStyle w:val="ListParagraph"/>
        <w:numPr>
          <w:ilvl w:val="0"/>
          <w:numId w:val="15"/>
        </w:numPr>
      </w:pPr>
      <w:r w:rsidRPr="00DD4BC4">
        <w:rPr>
          <w:b/>
        </w:rPr>
        <w:t>Part Three: Serious Incident Management Process</w:t>
      </w:r>
      <w:r w:rsidR="00314362">
        <w:rPr>
          <w:b/>
        </w:rPr>
        <w:t xml:space="preserve"> </w:t>
      </w:r>
      <w:r>
        <w:t>- outlines the process</w:t>
      </w:r>
      <w:r w:rsidR="00D50654">
        <w:t xml:space="preserve"> for conducting investigations into serious incidents in the NHS</w:t>
      </w:r>
      <w:r w:rsidR="00684D78">
        <w:t xml:space="preserve"> for the purposes of learning to prevent recurrence. It covers</w:t>
      </w:r>
      <w:r w:rsidR="00084753">
        <w:t xml:space="preserve"> </w:t>
      </w:r>
      <w:r w:rsidR="00684D78">
        <w:t xml:space="preserve">the process from </w:t>
      </w:r>
      <w:r w:rsidR="00084753">
        <w:t>setting up an investigation team to closure of the serious incident investigation. It</w:t>
      </w:r>
      <w:r>
        <w:t xml:space="preserve"> </w:t>
      </w:r>
      <w:r w:rsidR="006F5B51">
        <w:t>pro</w:t>
      </w:r>
      <w:r>
        <w:t xml:space="preserve">vides information on timescales, </w:t>
      </w:r>
      <w:r w:rsidR="006F5B51">
        <w:t>signposts tools and resources that support good pr</w:t>
      </w:r>
      <w:r>
        <w:t>actice</w:t>
      </w:r>
      <w:r w:rsidR="00EE23AD">
        <w:t xml:space="preserve"> and</w:t>
      </w:r>
      <w:r>
        <w:t xml:space="preserve"> </w:t>
      </w:r>
      <w:r w:rsidR="006F5B51">
        <w:t>provides an assuranc</w:t>
      </w:r>
      <w:r>
        <w:t xml:space="preserve">e </w:t>
      </w:r>
      <w:r w:rsidR="005A7486">
        <w:t>Framework</w:t>
      </w:r>
      <w:r>
        <w:t xml:space="preserve"> for investigations</w:t>
      </w:r>
      <w:r w:rsidR="00EE23AD">
        <w:t>.</w:t>
      </w:r>
    </w:p>
    <w:p w:rsidR="00687BC0" w:rsidRDefault="00687BC0" w:rsidP="00010C20"/>
    <w:p w:rsidR="00010C20" w:rsidRDefault="00314362" w:rsidP="00010C20">
      <w:r>
        <w:t xml:space="preserve">The </w:t>
      </w:r>
      <w:r w:rsidR="005A7486">
        <w:t>Framework</w:t>
      </w:r>
      <w:r>
        <w:t xml:space="preserve"> </w:t>
      </w:r>
      <w:r w:rsidR="00687BC0">
        <w:t>aims to facilitate l</w:t>
      </w:r>
      <w:r w:rsidR="00010C20">
        <w:t xml:space="preserve">earning </w:t>
      </w:r>
      <w:r w:rsidR="00687BC0">
        <w:t xml:space="preserve">by promoting </w:t>
      </w:r>
      <w:r w:rsidR="00010C20">
        <w:t>a fair, open, and just cultur</w:t>
      </w:r>
      <w:r w:rsidR="00687BC0">
        <w:t xml:space="preserve">e that abandons blame as a tool and </w:t>
      </w:r>
      <w:r w:rsidR="00EE23AD">
        <w:t>promotes the belief</w:t>
      </w:r>
      <w:r w:rsidR="00687BC0">
        <w:t xml:space="preserve"> that ‘</w:t>
      </w:r>
      <w:r w:rsidR="00010C20">
        <w:t>incident</w:t>
      </w:r>
      <w:r w:rsidR="00593DA6">
        <w:t>s</w:t>
      </w:r>
      <w:r w:rsidR="00010C20">
        <w:t xml:space="preserve"> cannot simply be linked to the actions of the individual healthcare staff involved</w:t>
      </w:r>
      <w:r w:rsidR="00593DA6">
        <w:t xml:space="preserve"> but rather</w:t>
      </w:r>
      <w:r w:rsidR="00010C20">
        <w:t xml:space="preserve"> the system in </w:t>
      </w:r>
      <w:r w:rsidR="00010C20">
        <w:lastRenderedPageBreak/>
        <w:t xml:space="preserve">which the individuals were working. Looking at what was wrong in the system helps organisations to learn lessons that can prevent the incident </w:t>
      </w:r>
      <w:r w:rsidR="00687BC0">
        <w:t>recurring</w:t>
      </w:r>
      <w:r w:rsidR="002F168C">
        <w:rPr>
          <w:rStyle w:val="EndnoteReference"/>
        </w:rPr>
        <w:endnoteReference w:id="1"/>
      </w:r>
      <w:r w:rsidR="00687BC0">
        <w:t>’.</w:t>
      </w:r>
    </w:p>
    <w:p w:rsidR="00593DA6" w:rsidRDefault="00593DA6" w:rsidP="00593DA6"/>
    <w:p w:rsidR="00593DA6" w:rsidRDefault="00B60804" w:rsidP="00593DA6">
      <w:r>
        <w:t xml:space="preserve">It </w:t>
      </w:r>
      <w:r w:rsidR="006B30A1">
        <w:t xml:space="preserve">is </w:t>
      </w:r>
      <w:r>
        <w:t>recognised that s</w:t>
      </w:r>
      <w:r w:rsidR="00593DA6">
        <w:t>erious incidents that require investigation extend beyond those which affect patients directly and include incidents which may indirec</w:t>
      </w:r>
      <w:r>
        <w:t xml:space="preserve">tly impact patient safety or an </w:t>
      </w:r>
      <w:r w:rsidR="00593DA6">
        <w:t xml:space="preserve">organisation’s ability to deliver ongoing healthcare. </w:t>
      </w:r>
    </w:p>
    <w:p w:rsidR="00593DA6" w:rsidRDefault="00593DA6" w:rsidP="00010C20"/>
    <w:p w:rsidR="00B37A6E" w:rsidRDefault="00687BC0" w:rsidP="003236B0">
      <w:r>
        <w:t xml:space="preserve">The </w:t>
      </w:r>
      <w:r w:rsidR="005A7486">
        <w:t>Framework</w:t>
      </w:r>
      <w:r w:rsidR="00314362">
        <w:t xml:space="preserve"> </w:t>
      </w:r>
      <w:r w:rsidR="00707453">
        <w:t>describes the</w:t>
      </w:r>
      <w:r w:rsidR="00EE23AD">
        <w:t xml:space="preserve"> process for undertaking</w:t>
      </w:r>
      <w:r w:rsidR="00D50654">
        <w:t xml:space="preserve"> systems</w:t>
      </w:r>
      <w:r w:rsidR="00314362">
        <w:t>-based</w:t>
      </w:r>
      <w:r w:rsidR="00707453">
        <w:t xml:space="preserve"> investigations</w:t>
      </w:r>
      <w:r w:rsidR="00084753">
        <w:t xml:space="preserve"> that explore the problem (what?)</w:t>
      </w:r>
      <w:r w:rsidR="00684D78">
        <w:t>,</w:t>
      </w:r>
      <w:r w:rsidR="00084753">
        <w:t xml:space="preserve"> the contributing factors to such problems (how?) and the root cau</w:t>
      </w:r>
      <w:r w:rsidR="00B60804">
        <w:t>se(s)/fundamental issues (why?).</w:t>
      </w:r>
      <w:r w:rsidR="002D56BA">
        <w:t xml:space="preserve"> It </w:t>
      </w:r>
      <w:r w:rsidR="00875DF2">
        <w:t>endorses the</w:t>
      </w:r>
      <w:r w:rsidR="00D50654">
        <w:t xml:space="preserve"> recognised</w:t>
      </w:r>
      <w:r w:rsidR="00EE23AD">
        <w:t xml:space="preserve"> approach applied within the NHS (currently referred to as Root Cause Analysis </w:t>
      </w:r>
      <w:r w:rsidR="00D50654">
        <w:t>investigation)</w:t>
      </w:r>
      <w:r w:rsidR="002D56BA">
        <w:t xml:space="preserve"> and</w:t>
      </w:r>
      <w:r w:rsidR="00707453">
        <w:t xml:space="preserve"> recognises that </w:t>
      </w:r>
      <w:r w:rsidR="003236B0">
        <w:t>‘</w:t>
      </w:r>
      <w:r w:rsidR="00707453">
        <w:t>serious incidents</w:t>
      </w:r>
      <w:r w:rsidR="003236B0">
        <w:t xml:space="preserve">’ </w:t>
      </w:r>
      <w:r w:rsidR="00C4237D">
        <w:t xml:space="preserve">span a vast range of healthcare </w:t>
      </w:r>
      <w:r w:rsidR="003236B0">
        <w:t xml:space="preserve">providers </w:t>
      </w:r>
      <w:r w:rsidR="00C4237D">
        <w:t>and</w:t>
      </w:r>
      <w:r w:rsidR="00707453">
        <w:t xml:space="preserve"> setting</w:t>
      </w:r>
      <w:r w:rsidR="003236B0">
        <w:t>s</w:t>
      </w:r>
      <w:r w:rsidR="00061D5C">
        <w:t>,</w:t>
      </w:r>
      <w:r w:rsidR="00C4237D">
        <w:t xml:space="preserve"> extending into social </w:t>
      </w:r>
      <w:r w:rsidR="00EE23AD">
        <w:t>care</w:t>
      </w:r>
      <w:r w:rsidR="00C4237D">
        <w:t xml:space="preserve"> and</w:t>
      </w:r>
      <w:r w:rsidR="006F5B51">
        <w:t xml:space="preserve"> the</w:t>
      </w:r>
      <w:r w:rsidR="00C4237D">
        <w:t xml:space="preserve"> criminal </w:t>
      </w:r>
      <w:r w:rsidR="006F5B51">
        <w:t>justice system</w:t>
      </w:r>
      <w:r w:rsidR="003236B0">
        <w:t xml:space="preserve">. </w:t>
      </w:r>
    </w:p>
    <w:p w:rsidR="00B37A6E" w:rsidRDefault="00B37A6E" w:rsidP="003236B0"/>
    <w:p w:rsidR="00061D5C" w:rsidRDefault="004C088B" w:rsidP="003236B0">
      <w:r>
        <w:t xml:space="preserve">The </w:t>
      </w:r>
      <w:r w:rsidR="005A7486">
        <w:t>Framework</w:t>
      </w:r>
      <w:r w:rsidR="00314362">
        <w:t xml:space="preserve"> </w:t>
      </w:r>
      <w:r w:rsidR="003236B0">
        <w:t>acknowledges the interfaces with other organisation</w:t>
      </w:r>
      <w:r w:rsidR="00061D5C">
        <w:t>s</w:t>
      </w:r>
      <w:r w:rsidR="006F5B51">
        <w:t>, particularly those</w:t>
      </w:r>
      <w:r w:rsidR="00061D5C">
        <w:t xml:space="preserve"> </w:t>
      </w:r>
      <w:r w:rsidR="00B37A6E">
        <w:t>with a</w:t>
      </w:r>
      <w:r w:rsidR="00707453">
        <w:t xml:space="preserve"> statutory </w:t>
      </w:r>
      <w:r w:rsidR="00B37A6E">
        <w:t>responsibility</w:t>
      </w:r>
      <w:r w:rsidR="00707453">
        <w:t xml:space="preserve"> to </w:t>
      </w:r>
      <w:r w:rsidR="003236B0">
        <w:t xml:space="preserve">investigate </w:t>
      </w:r>
      <w:r w:rsidR="00B37A6E">
        <w:t xml:space="preserve">specific types of </w:t>
      </w:r>
      <w:r w:rsidR="003236B0">
        <w:t xml:space="preserve">incidents </w:t>
      </w:r>
      <w:r w:rsidR="00B37A6E">
        <w:t xml:space="preserve">which may </w:t>
      </w:r>
      <w:r w:rsidR="003236B0">
        <w:t>involv</w:t>
      </w:r>
      <w:r w:rsidR="00B37A6E">
        <w:t>e</w:t>
      </w:r>
      <w:r w:rsidR="00D50654">
        <w:t xml:space="preserve"> the delivery of</w:t>
      </w:r>
      <w:r w:rsidR="003236B0">
        <w:t xml:space="preserve"> healthcare</w:t>
      </w:r>
      <w:r w:rsidR="006F5B51">
        <w:t xml:space="preserve"> and</w:t>
      </w:r>
      <w:r>
        <w:t xml:space="preserve"> therefore</w:t>
      </w:r>
      <w:r w:rsidR="00314362">
        <w:t xml:space="preserve"> can</w:t>
      </w:r>
      <w:r>
        <w:t xml:space="preserve"> coincide with serious incident investigations led by the health service. In doing so, it </w:t>
      </w:r>
      <w:r w:rsidR="003236B0">
        <w:t xml:space="preserve">recognises that a variety of </w:t>
      </w:r>
      <w:r w:rsidR="00084753">
        <w:t xml:space="preserve">investigation </w:t>
      </w:r>
      <w:r w:rsidR="003236B0">
        <w:t xml:space="preserve">methodologies </w:t>
      </w:r>
      <w:r w:rsidR="006F5B51">
        <w:t>may be applied</w:t>
      </w:r>
      <w:r>
        <w:t xml:space="preserve"> and</w:t>
      </w:r>
      <w:r w:rsidR="00C4237D">
        <w:t xml:space="preserve"> promotes the ever increasing need to work collaboratively in an effort to </w:t>
      </w:r>
      <w:r w:rsidR="006F5B51">
        <w:t>draw lesson</w:t>
      </w:r>
      <w:r w:rsidR="00D50654">
        <w:t>s</w:t>
      </w:r>
      <w:r w:rsidR="006F5B51">
        <w:t xml:space="preserve"> to inform</w:t>
      </w:r>
      <w:r w:rsidR="00C4237D">
        <w:t xml:space="preserve"> systematic learning and improvement.</w:t>
      </w:r>
    </w:p>
    <w:p w:rsidR="00061D5C" w:rsidRDefault="00061D5C" w:rsidP="003236B0"/>
    <w:p w:rsidR="00EE23AD" w:rsidRDefault="00084753" w:rsidP="00980E0A">
      <w:r>
        <w:t>L</w:t>
      </w:r>
      <w:r w:rsidR="001D295F" w:rsidRPr="00980E0A">
        <w:t>ocal</w:t>
      </w:r>
      <w:r w:rsidR="003D48CD" w:rsidRPr="00980E0A">
        <w:t xml:space="preserve"> operational guida</w:t>
      </w:r>
      <w:r w:rsidR="006F5B51" w:rsidRPr="00980E0A">
        <w:t>nce for s</w:t>
      </w:r>
      <w:r w:rsidR="003D48CD" w:rsidRPr="00980E0A">
        <w:t xml:space="preserve">erious </w:t>
      </w:r>
      <w:r w:rsidR="006F5B51" w:rsidRPr="00980E0A">
        <w:t>i</w:t>
      </w:r>
      <w:r w:rsidR="003D48CD" w:rsidRPr="00980E0A">
        <w:t>ncident</w:t>
      </w:r>
      <w:r w:rsidR="006F5B51" w:rsidRPr="00980E0A">
        <w:t xml:space="preserve"> m</w:t>
      </w:r>
      <w:r w:rsidR="003D48CD" w:rsidRPr="00980E0A">
        <w:t xml:space="preserve">anagement </w:t>
      </w:r>
      <w:r>
        <w:t>(</w:t>
      </w:r>
      <w:r w:rsidR="003D48CD" w:rsidRPr="00980E0A">
        <w:t>within commissioning and provider organisations</w:t>
      </w:r>
      <w:r>
        <w:t xml:space="preserve">) must be consistent with this </w:t>
      </w:r>
      <w:r w:rsidR="005A7486">
        <w:t>Framework</w:t>
      </w:r>
      <w:r w:rsidR="003D48CD" w:rsidRPr="00980E0A">
        <w:t>.</w:t>
      </w:r>
    </w:p>
    <w:p w:rsidR="00EE23AD" w:rsidRDefault="00EE23AD" w:rsidP="00980E0A"/>
    <w:p w:rsidR="00EE23AD" w:rsidRDefault="00BD0523" w:rsidP="00980E0A">
      <w:r w:rsidRPr="006A0052">
        <w:br w:type="page"/>
      </w:r>
    </w:p>
    <w:p w:rsidR="00853B39" w:rsidRDefault="00F623F3" w:rsidP="00466603">
      <w:pPr>
        <w:pStyle w:val="Heading1"/>
      </w:pPr>
      <w:bookmarkStart w:id="12" w:name="_Toc414568024"/>
      <w:r>
        <w:t>Introduction</w:t>
      </w:r>
      <w:bookmarkEnd w:id="12"/>
    </w:p>
    <w:p w:rsidR="005D2FC9" w:rsidRDefault="005D2FC9" w:rsidP="00F64083"/>
    <w:p w:rsidR="001A6235" w:rsidRDefault="00287CE3" w:rsidP="00F64083">
      <w:r w:rsidRPr="00287CE3">
        <w:t>The potential for learning from some incidents in healthcare is so great, or the consequences to patients, families and carers, staff or organisations so significant that these incidents warrant</w:t>
      </w:r>
      <w:r w:rsidR="005D2FC9">
        <w:t xml:space="preserve"> using additional resources to mount</w:t>
      </w:r>
      <w:r w:rsidR="004C088B">
        <w:t xml:space="preserve"> a</w:t>
      </w:r>
      <w:r w:rsidR="005D2FC9">
        <w:t xml:space="preserve"> </w:t>
      </w:r>
      <w:r w:rsidR="00891B82" w:rsidRPr="00891B82">
        <w:t>comprehensive response</w:t>
      </w:r>
      <w:r w:rsidR="00891B82">
        <w:t>,</w:t>
      </w:r>
      <w:r w:rsidR="00891B82" w:rsidRPr="00891B82">
        <w:t xml:space="preserve"> following consistent and clearly defined principles and procedures, with a significant management focus and formal governance arrangements around reporting, investigation, learning, action planning, implementation and closure</w:t>
      </w:r>
      <w:r w:rsidR="00891B82">
        <w:t>.</w:t>
      </w:r>
    </w:p>
    <w:p w:rsidR="001A6235" w:rsidRDefault="001A6235" w:rsidP="00F64083"/>
    <w:p w:rsidR="00EF4508" w:rsidRDefault="00315A39" w:rsidP="00F64083">
      <w:r>
        <w:t xml:space="preserve">The </w:t>
      </w:r>
      <w:r w:rsidR="006F5B51">
        <w:t>National Patient Safety Agency (</w:t>
      </w:r>
      <w:r>
        <w:t>NPSA</w:t>
      </w:r>
      <w:r w:rsidR="006F5B51">
        <w:t>)</w:t>
      </w:r>
      <w:r>
        <w:t xml:space="preserve"> </w:t>
      </w:r>
      <w:r w:rsidR="00314362">
        <w:t xml:space="preserve">established </w:t>
      </w:r>
      <w:r>
        <w:t>the building blocks</w:t>
      </w:r>
      <w:r w:rsidR="00EF4508">
        <w:t xml:space="preserve"> for doing this in the first National </w:t>
      </w:r>
      <w:r w:rsidR="005A7486">
        <w:t>Framework</w:t>
      </w:r>
      <w:r w:rsidR="00EF4508">
        <w:t xml:space="preserve"> for Reporting and Learning from Serious Incidents Requiring </w:t>
      </w:r>
      <w:r w:rsidR="007C4B5C">
        <w:t xml:space="preserve">Investigation </w:t>
      </w:r>
      <w:r w:rsidR="00314362">
        <w:t xml:space="preserve">published in </w:t>
      </w:r>
      <w:r w:rsidR="00EF4508">
        <w:t xml:space="preserve">2010. </w:t>
      </w:r>
      <w:r w:rsidR="007C4B5C" w:rsidRPr="007C4B5C">
        <w:t>This was supple</w:t>
      </w:r>
      <w:r w:rsidR="002607BB">
        <w:t xml:space="preserve">mented by the Serious Incident </w:t>
      </w:r>
      <w:r w:rsidR="005A7486">
        <w:t>Framework</w:t>
      </w:r>
      <w:r w:rsidR="007C4B5C" w:rsidRPr="007C4B5C">
        <w:t xml:space="preserve"> produced by NHS England in </w:t>
      </w:r>
      <w:r w:rsidR="002607BB">
        <w:t xml:space="preserve">March </w:t>
      </w:r>
      <w:r w:rsidR="007C4B5C" w:rsidRPr="007C4B5C">
        <w:t>2013</w:t>
      </w:r>
      <w:r w:rsidR="00F740FD">
        <w:t>,</w:t>
      </w:r>
      <w:r w:rsidR="007C4B5C" w:rsidRPr="007C4B5C">
        <w:t xml:space="preserve"> which reflected the changes within the NHS landscape</w:t>
      </w:r>
      <w:r w:rsidR="00314362">
        <w:t xml:space="preserve"> following the Health and Social Care Act 2012</w:t>
      </w:r>
      <w:r w:rsidR="007C4B5C" w:rsidRPr="007C4B5C">
        <w:t>. Since the publication of this guidance there have been further changes</w:t>
      </w:r>
      <w:r w:rsidR="00314362">
        <w:t>, particularly within NHS England</w:t>
      </w:r>
      <w:r w:rsidR="007C4B5C" w:rsidRPr="007C4B5C">
        <w:t xml:space="preserve">. In order to continue building on the foundations set by the NPSA, NHS England has developed a revised Serious Incident </w:t>
      </w:r>
      <w:r w:rsidR="005A7486">
        <w:t>Framework</w:t>
      </w:r>
      <w:r w:rsidR="00684D78">
        <w:t xml:space="preserve"> which replaces previous versions</w:t>
      </w:r>
      <w:r w:rsidR="007C4B5C" w:rsidRPr="007C4B5C">
        <w:t xml:space="preserve">. This revised </w:t>
      </w:r>
      <w:r w:rsidR="005A7486">
        <w:t>Framework</w:t>
      </w:r>
      <w:r w:rsidR="00314362">
        <w:t xml:space="preserve"> </w:t>
      </w:r>
      <w:r w:rsidR="006F5B51">
        <w:t>takes</w:t>
      </w:r>
      <w:r w:rsidR="00C6250B">
        <w:t xml:space="preserve"> </w:t>
      </w:r>
      <w:r w:rsidR="006F5B51">
        <w:t xml:space="preserve">account of the changes and acknowledges </w:t>
      </w:r>
      <w:r w:rsidR="00F64083">
        <w:t>the</w:t>
      </w:r>
      <w:r w:rsidR="006F5B51">
        <w:t xml:space="preserve"> increasing</w:t>
      </w:r>
      <w:r w:rsidR="00F64083">
        <w:t xml:space="preserve"> importance of taking a whole-system approach to </w:t>
      </w:r>
      <w:r w:rsidR="00B17C33">
        <w:t>quality</w:t>
      </w:r>
      <w:r w:rsidR="00B17C33">
        <w:rPr>
          <w:rStyle w:val="FootnoteReference"/>
        </w:rPr>
        <w:footnoteReference w:id="4"/>
      </w:r>
      <w:r w:rsidR="00F64083">
        <w:t>, where coop</w:t>
      </w:r>
      <w:r w:rsidR="00D50654">
        <w:t xml:space="preserve">eration, partnership working, thorough investigation and analytical thinking </w:t>
      </w:r>
      <w:r w:rsidR="005A7486">
        <w:t>are</w:t>
      </w:r>
      <w:r w:rsidR="00D50654">
        <w:t xml:space="preserve"> used</w:t>
      </w:r>
      <w:r w:rsidR="001D295F">
        <w:t xml:space="preserve"> to understand </w:t>
      </w:r>
      <w:r w:rsidR="00C6250B">
        <w:t xml:space="preserve">where </w:t>
      </w:r>
      <w:r w:rsidR="001D295F">
        <w:t>weaknesses</w:t>
      </w:r>
      <w:r w:rsidR="00C6250B">
        <w:t xml:space="preserve">/ problems in service and/or care delivery exist, in order </w:t>
      </w:r>
      <w:r w:rsidR="006F5B51">
        <w:t>to draw learning</w:t>
      </w:r>
      <w:r w:rsidR="00D50654">
        <w:t xml:space="preserve"> </w:t>
      </w:r>
      <w:r w:rsidR="00C6250B">
        <w:t>that</w:t>
      </w:r>
      <w:r w:rsidR="00D50654">
        <w:t xml:space="preserve"> minimise</w:t>
      </w:r>
      <w:r w:rsidR="00C6250B">
        <w:t>s</w:t>
      </w:r>
      <w:r w:rsidR="00D50654">
        <w:t xml:space="preserve"> the risk of</w:t>
      </w:r>
      <w:r w:rsidR="00C6250B">
        <w:t xml:space="preserve"> future</w:t>
      </w:r>
      <w:r w:rsidR="00D50654">
        <w:t xml:space="preserve"> harm</w:t>
      </w:r>
      <w:r w:rsidR="00F64083">
        <w:t xml:space="preserve">. </w:t>
      </w:r>
    </w:p>
    <w:p w:rsidR="00EF4508" w:rsidRDefault="00EF4508" w:rsidP="00F64083"/>
    <w:p w:rsidR="001A6235" w:rsidRDefault="009B0ADD" w:rsidP="009B0ADD">
      <w:r>
        <w:t xml:space="preserve">Serious </w:t>
      </w:r>
      <w:r w:rsidR="005A7486">
        <w:t>i</w:t>
      </w:r>
      <w:r>
        <w:t>ncidents in healthcare are rare, but it</w:t>
      </w:r>
      <w:r w:rsidR="004C088B">
        <w:t xml:space="preserve"> is acknowledged that s</w:t>
      </w:r>
      <w:r w:rsidR="001D295F">
        <w:t>ystems and processes have weaknesses</w:t>
      </w:r>
      <w:r>
        <w:t xml:space="preserve"> and that e</w:t>
      </w:r>
      <w:r w:rsidR="001A6235" w:rsidRPr="001A6235">
        <w:t xml:space="preserve">rrors will </w:t>
      </w:r>
      <w:r w:rsidR="001D295F">
        <w:t xml:space="preserve">inevitably </w:t>
      </w:r>
      <w:r w:rsidR="001A6235" w:rsidRPr="001A6235">
        <w:t xml:space="preserve">happen. </w:t>
      </w:r>
      <w:r w:rsidR="001A6235">
        <w:t>But, a</w:t>
      </w:r>
      <w:r w:rsidR="001A6235" w:rsidRPr="001A6235">
        <w:t xml:space="preserve"> good organisation </w:t>
      </w:r>
      <w:r w:rsidR="001A6235">
        <w:t>will</w:t>
      </w:r>
      <w:r w:rsidR="001A6235" w:rsidRPr="001A6235">
        <w:t xml:space="preserve"> reco</w:t>
      </w:r>
      <w:r w:rsidR="001A6235">
        <w:t>gnise</w:t>
      </w:r>
      <w:r w:rsidR="001A6235" w:rsidRPr="001A6235">
        <w:t xml:space="preserve"> harm and the potential for harm and</w:t>
      </w:r>
      <w:r w:rsidR="001A6235">
        <w:t xml:space="preserve"> will</w:t>
      </w:r>
      <w:r w:rsidR="001A6235" w:rsidRPr="001A6235">
        <w:t xml:space="preserve"> undertake swift, thoughtful and practical action in response, </w:t>
      </w:r>
      <w:r w:rsidR="004C088B">
        <w:t>without</w:t>
      </w:r>
      <w:r w:rsidR="001A6235" w:rsidRPr="001A6235">
        <w:t xml:space="preserve"> inappropriately blam</w:t>
      </w:r>
      <w:r w:rsidR="007E4FB7">
        <w:t>ing</w:t>
      </w:r>
      <w:r w:rsidR="001A6235" w:rsidRPr="001A6235">
        <w:t xml:space="preserve"> individuals</w:t>
      </w:r>
      <w:r w:rsidR="002F168C">
        <w:rPr>
          <w:rStyle w:val="EndnoteReference"/>
        </w:rPr>
        <w:endnoteReference w:id="2"/>
      </w:r>
      <w:r w:rsidR="001A6235" w:rsidRPr="001A6235">
        <w:t xml:space="preserve">. </w:t>
      </w:r>
    </w:p>
    <w:p w:rsidR="001A6235" w:rsidRDefault="001A6235" w:rsidP="00670231"/>
    <w:p w:rsidR="00670231" w:rsidRDefault="00670231" w:rsidP="00670231">
      <w:r>
        <w:t>Whil</w:t>
      </w:r>
      <w:r w:rsidR="001A6235">
        <w:t>st</w:t>
      </w:r>
      <w:r>
        <w:t xml:space="preserve"> it may be appropriate to performance</w:t>
      </w:r>
      <w:r w:rsidR="005A7486">
        <w:t>-</w:t>
      </w:r>
      <w:r>
        <w:t xml:space="preserve">manage, or even regulate organisations on the basis of their responses to serious incidents, it is </w:t>
      </w:r>
      <w:r w:rsidR="001A6235">
        <w:t>not</w:t>
      </w:r>
      <w:r>
        <w:t xml:space="preserve"> appropriate to performance</w:t>
      </w:r>
      <w:r w:rsidR="005A7486">
        <w:t>-</w:t>
      </w:r>
      <w:r>
        <w:t xml:space="preserve"> manage </w:t>
      </w:r>
      <w:r w:rsidR="009C1A45">
        <w:t>or regulate organisations</w:t>
      </w:r>
      <w:r w:rsidR="005A7486">
        <w:t xml:space="preserve"> only</w:t>
      </w:r>
      <w:r w:rsidR="009C1A45">
        <w:t xml:space="preserve"> on</w:t>
      </w:r>
      <w:r>
        <w:t xml:space="preserve"> the basis of the number or type of serious incidents that they report. Doing so will only discourage reporting, dis-incentivise information sharing and inhibit learning.</w:t>
      </w:r>
      <w:r w:rsidR="000422F6">
        <w:t xml:space="preserve"> </w:t>
      </w:r>
    </w:p>
    <w:p w:rsidR="00670231" w:rsidRDefault="00670231" w:rsidP="00670231"/>
    <w:p w:rsidR="00670231" w:rsidRDefault="001A6235" w:rsidP="00670231">
      <w:r>
        <w:t>Neither is it</w:t>
      </w:r>
      <w:r w:rsidR="00670231">
        <w:t xml:space="preserve"> appropriate to sanction organisations</w:t>
      </w:r>
      <w:r w:rsidR="009D5416">
        <w:t xml:space="preserve"> simply</w:t>
      </w:r>
      <w:r w:rsidR="00670231">
        <w:t xml:space="preserve"> for reporting serious incidents or to set performance targets based on decreasing the number of serious incidents that are reported. Simply counting the number of serious incidents reported by an organisation does not tell you how safe they are and should not be used to make isolated judgements about the safety of care</w:t>
      </w:r>
      <w:r w:rsidR="005A7486">
        <w:t>.</w:t>
      </w:r>
      <w:r w:rsidR="00553257">
        <w:rPr>
          <w:rStyle w:val="FootnoteReference"/>
        </w:rPr>
        <w:footnoteReference w:id="5"/>
      </w:r>
      <w:r w:rsidR="001077B3">
        <w:t xml:space="preserve"> </w:t>
      </w:r>
    </w:p>
    <w:p w:rsidR="007B7363" w:rsidRDefault="007B7363" w:rsidP="00670231"/>
    <w:p w:rsidR="00670231" w:rsidRDefault="00670231" w:rsidP="00670231">
      <w:r>
        <w:t>It is</w:t>
      </w:r>
      <w:r w:rsidR="005A7486">
        <w:t>,</w:t>
      </w:r>
      <w:r w:rsidR="007B7363">
        <w:t xml:space="preserve"> however</w:t>
      </w:r>
      <w:r w:rsidR="005A7486">
        <w:t>,</w:t>
      </w:r>
      <w:r w:rsidR="007B7363">
        <w:t xml:space="preserve"> </w:t>
      </w:r>
      <w:r>
        <w:t xml:space="preserve">appropriate for commissioners and regulators to expect serious incidents to be reported in a timely manner, to be effectively and appropriately investigated, robust action plans to be developed and implemented and learning </w:t>
      </w:r>
      <w:r>
        <w:lastRenderedPageBreak/>
        <w:t>shared as appropriate. Where this is not happening – for example where serious incidents are not being reported to commissioners or regulators within the required timescales once organisations are aware of them (or event not reported at all) or where investigations and action plan</w:t>
      </w:r>
      <w:r w:rsidR="009C1A45">
        <w:t xml:space="preserve">s are not effective and robust, </w:t>
      </w:r>
      <w:r>
        <w:t xml:space="preserve">it is appropriate to </w:t>
      </w:r>
      <w:r w:rsidR="00314362">
        <w:t>under</w:t>
      </w:r>
      <w:r>
        <w:t xml:space="preserve">take regulatory action or performance management </w:t>
      </w:r>
      <w:r w:rsidR="005E1C2F">
        <w:t xml:space="preserve">of </w:t>
      </w:r>
      <w:r>
        <w:t>the organisation.</w:t>
      </w:r>
      <w:r w:rsidR="008C06FE" w:rsidRPr="008C06FE">
        <w:t xml:space="preserve"> </w:t>
      </w:r>
      <w:r w:rsidR="008C06FE">
        <w:t xml:space="preserve">Information about serious incidents should also be triangulated with </w:t>
      </w:r>
      <w:r w:rsidR="00934A5C">
        <w:t xml:space="preserve">other information and </w:t>
      </w:r>
      <w:r w:rsidR="008C06FE">
        <w:t>intelligence</w:t>
      </w:r>
      <w:r w:rsidR="005A7486">
        <w:t>;</w:t>
      </w:r>
      <w:r w:rsidR="0077116C">
        <w:t xml:space="preserve"> for </w:t>
      </w:r>
      <w:r w:rsidR="00FE1E54">
        <w:t>example</w:t>
      </w:r>
      <w:r w:rsidR="005A7486">
        <w:t>,</w:t>
      </w:r>
      <w:r w:rsidR="00FE1E54">
        <w:t xml:space="preserve"> that</w:t>
      </w:r>
      <w:r w:rsidR="008C06FE">
        <w:t xml:space="preserve"> obtained through Quality Surveillance Groups</w:t>
      </w:r>
      <w:r w:rsidR="005A7486">
        <w:t>.</w:t>
      </w:r>
      <w:r w:rsidR="008C06FE">
        <w:rPr>
          <w:rStyle w:val="FootnoteReference"/>
        </w:rPr>
        <w:footnoteReference w:id="6"/>
      </w:r>
      <w:r w:rsidR="008C06FE">
        <w:t xml:space="preserve"> </w:t>
      </w:r>
    </w:p>
    <w:p w:rsidR="003B1330" w:rsidRDefault="00960BEC" w:rsidP="00F64083">
      <w:r>
        <w:t xml:space="preserve"> </w:t>
      </w:r>
    </w:p>
    <w:p w:rsidR="00105FDA" w:rsidRDefault="00105FDA" w:rsidP="00105FDA">
      <w:pPr>
        <w:pStyle w:val="Heading1"/>
      </w:pPr>
      <w:bookmarkStart w:id="13" w:name="_Toc414568025"/>
      <w:r>
        <w:t xml:space="preserve">Part One: </w:t>
      </w:r>
      <w:r w:rsidR="00BF6302">
        <w:t xml:space="preserve">Definitions and </w:t>
      </w:r>
      <w:r w:rsidR="009D2EEC">
        <w:t>Thresholds</w:t>
      </w:r>
      <w:bookmarkEnd w:id="13"/>
      <w:r w:rsidR="001D3373">
        <w:t xml:space="preserve"> </w:t>
      </w:r>
    </w:p>
    <w:p w:rsidR="001D3373" w:rsidRPr="009C1A45" w:rsidRDefault="001D3373" w:rsidP="001D3373">
      <w:pPr>
        <w:rPr>
          <w:sz w:val="16"/>
          <w:szCs w:val="16"/>
        </w:rPr>
      </w:pPr>
    </w:p>
    <w:p w:rsidR="00335DAC" w:rsidRPr="00335DAC" w:rsidRDefault="003A0E06" w:rsidP="00B23031">
      <w:pPr>
        <w:pStyle w:val="Heading1"/>
        <w:numPr>
          <w:ilvl w:val="0"/>
          <w:numId w:val="7"/>
        </w:numPr>
      </w:pPr>
      <w:bookmarkStart w:id="14" w:name="_Toc414568026"/>
      <w:r>
        <w:t>What is a Serious Incident?</w:t>
      </w:r>
      <w:bookmarkEnd w:id="14"/>
    </w:p>
    <w:p w:rsidR="008D5438" w:rsidRPr="009C1A45" w:rsidRDefault="008D5438" w:rsidP="000931CC">
      <w:pPr>
        <w:rPr>
          <w:sz w:val="16"/>
          <w:szCs w:val="16"/>
        </w:rPr>
      </w:pPr>
    </w:p>
    <w:p w:rsidR="009B0ADD" w:rsidRDefault="000931CC" w:rsidP="009B0ADD">
      <w:r>
        <w:t>In broad terms, serious incidents are events in health care where t</w:t>
      </w:r>
      <w:r w:rsidRPr="00494925">
        <w:t xml:space="preserve">he potential for learning is so great, or the consequences to patients, families and carers, staff or organisations </w:t>
      </w:r>
      <w:r w:rsidR="00655C58">
        <w:t xml:space="preserve">are </w:t>
      </w:r>
      <w:r w:rsidRPr="00494925">
        <w:t>so significant</w:t>
      </w:r>
      <w:r w:rsidR="005A7486">
        <w:t>,</w:t>
      </w:r>
      <w:r w:rsidRPr="00494925">
        <w:t xml:space="preserve"> that the</w:t>
      </w:r>
      <w:r>
        <w:t>y</w:t>
      </w:r>
      <w:r w:rsidRPr="00494925">
        <w:t xml:space="preserve"> warrant using additional resources to mount a comprehensive response</w:t>
      </w:r>
      <w:r>
        <w:t xml:space="preserve">. </w:t>
      </w:r>
      <w:r w:rsidR="009B0ADD">
        <w:t xml:space="preserve">Serious incidents </w:t>
      </w:r>
      <w:r w:rsidR="006B30A1">
        <w:t>can</w:t>
      </w:r>
      <w:r w:rsidR="009B0ADD">
        <w:t xml:space="preserve"> </w:t>
      </w:r>
      <w:r w:rsidR="006B30A1" w:rsidRPr="006B30A1">
        <w:t xml:space="preserve">extend beyond </w:t>
      </w:r>
      <w:r w:rsidR="00E44D51">
        <w:t>incidents</w:t>
      </w:r>
      <w:r w:rsidR="006B30A1" w:rsidRPr="006B30A1">
        <w:t xml:space="preserve"> which affect patients directly and include incidents which may indirectly impact patient safety or an organisation’s ability to deliver ongoing healthcare</w:t>
      </w:r>
      <w:r w:rsidR="009B0ADD">
        <w:t xml:space="preserve">. </w:t>
      </w:r>
    </w:p>
    <w:p w:rsidR="000931CC" w:rsidRDefault="000931CC" w:rsidP="003A0E06"/>
    <w:p w:rsidR="00756395" w:rsidRDefault="000931CC" w:rsidP="003A0E06">
      <w:r>
        <w:t>The occurrence of a serious incident</w:t>
      </w:r>
      <w:r w:rsidR="00C37F1C">
        <w:t xml:space="preserve"> </w:t>
      </w:r>
      <w:r>
        <w:t>demonstrates</w:t>
      </w:r>
      <w:r w:rsidR="00C37F1C">
        <w:t xml:space="preserve"> </w:t>
      </w:r>
      <w:r w:rsidR="00756395">
        <w:t>weaknesses</w:t>
      </w:r>
      <w:r w:rsidR="00C37F1C">
        <w:t xml:space="preserve"> in </w:t>
      </w:r>
      <w:r w:rsidR="007C4B5C">
        <w:t xml:space="preserve">a </w:t>
      </w:r>
      <w:r w:rsidR="00C37F1C">
        <w:t>system</w:t>
      </w:r>
      <w:r>
        <w:t xml:space="preserve"> </w:t>
      </w:r>
      <w:r w:rsidR="00C37F1C">
        <w:t xml:space="preserve">or process </w:t>
      </w:r>
      <w:r>
        <w:t>that need to be addressed to prevent future incidents leading to avoidable death or serious harm</w:t>
      </w:r>
      <w:r>
        <w:rPr>
          <w:rStyle w:val="FootnoteReference"/>
        </w:rPr>
        <w:footnoteReference w:id="7"/>
      </w:r>
      <w:r>
        <w:t xml:space="preserve"> to patients or staff, future incidents of abuse to patients or staff, or future significant reputational damage to the organisations involved. Serious incidents therefore</w:t>
      </w:r>
      <w:r w:rsidR="00C37F1C">
        <w:t xml:space="preserve"> require</w:t>
      </w:r>
      <w:r w:rsidR="00B92921">
        <w:t xml:space="preserve"> investigation</w:t>
      </w:r>
      <w:r w:rsidR="003872D0">
        <w:t xml:space="preserve"> in order to identify the factors that contribute</w:t>
      </w:r>
      <w:r>
        <w:t>d</w:t>
      </w:r>
      <w:r w:rsidR="003872D0">
        <w:t xml:space="preserve"> towards </w:t>
      </w:r>
      <w:r>
        <w:t>the incident occurring</w:t>
      </w:r>
      <w:r w:rsidR="003872D0">
        <w:t xml:space="preserve"> and the fundamental issues</w:t>
      </w:r>
      <w:r w:rsidR="00553257">
        <w:t xml:space="preserve"> (or root causes)</w:t>
      </w:r>
      <w:r>
        <w:t xml:space="preserve"> that underpinned these.</w:t>
      </w:r>
      <w:r w:rsidR="003872D0">
        <w:t xml:space="preserve"> </w:t>
      </w:r>
      <w:r>
        <w:t>Serious incidents</w:t>
      </w:r>
      <w:r w:rsidR="000A2F7A">
        <w:t xml:space="preserve"> can be isolated, single events or multiple linked or unlinked events signalling systemic failure</w:t>
      </w:r>
      <w:r w:rsidR="003C4103">
        <w:t>s</w:t>
      </w:r>
      <w:r w:rsidR="000A2F7A">
        <w:t xml:space="preserve"> within </w:t>
      </w:r>
      <w:r w:rsidR="003C4103">
        <w:t>a</w:t>
      </w:r>
      <w:r w:rsidR="00B17C33">
        <w:t xml:space="preserve"> commissioning or</w:t>
      </w:r>
      <w:r w:rsidR="002E5FD2">
        <w:t xml:space="preserve"> health </w:t>
      </w:r>
      <w:r w:rsidR="003C4103">
        <w:t>system.</w:t>
      </w:r>
    </w:p>
    <w:p w:rsidR="001A19E1" w:rsidRDefault="001A19E1" w:rsidP="003A0E06"/>
    <w:p w:rsidR="009B0ADD" w:rsidRDefault="003A0E06" w:rsidP="003A0E06">
      <w:r w:rsidRPr="003A0E06">
        <w:t xml:space="preserve">There is no definitive list of events/incidents </w:t>
      </w:r>
      <w:r w:rsidR="009B0ADD">
        <w:t>that</w:t>
      </w:r>
      <w:r w:rsidRPr="003A0E06">
        <w:t xml:space="preserve"> constitute a serious incident </w:t>
      </w:r>
      <w:r w:rsidR="00F82E02">
        <w:t>and lists should not be created locally</w:t>
      </w:r>
      <w:r w:rsidR="004E463D">
        <w:t xml:space="preserve"> as this </w:t>
      </w:r>
      <w:r w:rsidR="004E463D" w:rsidRPr="004E463D">
        <w:t xml:space="preserve">can lead to </w:t>
      </w:r>
      <w:r w:rsidR="009B0ADD">
        <w:t>inconsistent or inappropriate management of incidents</w:t>
      </w:r>
      <w:r w:rsidRPr="003A0E06">
        <w:t>.</w:t>
      </w:r>
      <w:r w:rsidR="009B0ADD">
        <w:t xml:space="preserve"> Where lists are created there is a tendency to not appropriately investigate things that are not on the list even when they should be investigated, and equally a tendency to undertake full investigations of incidents where that may not be warranted simply because they seem to fit a description of an incident on a list.</w:t>
      </w:r>
    </w:p>
    <w:p w:rsidR="009B0ADD" w:rsidRDefault="009B0ADD" w:rsidP="003A0E06"/>
    <w:p w:rsidR="003A0E06" w:rsidRPr="003A0E06" w:rsidRDefault="003A0E06" w:rsidP="003A0E06">
      <w:r w:rsidRPr="003A0E06">
        <w:t>The definition below</w:t>
      </w:r>
      <w:r w:rsidR="003F0EB2">
        <w:t xml:space="preserve"> </w:t>
      </w:r>
      <w:r w:rsidRPr="003A0E06">
        <w:t xml:space="preserve">sets out circumstances in which a serious incident </w:t>
      </w:r>
      <w:r w:rsidR="00801D6F">
        <w:t>must</w:t>
      </w:r>
      <w:r w:rsidRPr="003A0E06">
        <w:t xml:space="preserve"> be declared. Every incident must be considered on a case</w:t>
      </w:r>
      <w:r w:rsidR="005A7486">
        <w:t>-</w:t>
      </w:r>
      <w:r w:rsidRPr="003A0E06">
        <w:t>by</w:t>
      </w:r>
      <w:r w:rsidR="005A7486">
        <w:t>-</w:t>
      </w:r>
      <w:r w:rsidRPr="003A0E06">
        <w:t>case basis</w:t>
      </w:r>
      <w:r w:rsidR="00F82E02">
        <w:t xml:space="preserve"> using the description below</w:t>
      </w:r>
      <w:r w:rsidRPr="003A0E06">
        <w:t>. Inevitably, there will be borderline cases that rely on the judgement of the people involved</w:t>
      </w:r>
      <w:r w:rsidR="00494925">
        <w:t xml:space="preserve"> (see section 1.1)</w:t>
      </w:r>
      <w:r w:rsidRPr="003A0E06">
        <w:t>.</w:t>
      </w:r>
      <w:r w:rsidR="00494925" w:rsidRPr="00494925">
        <w:t xml:space="preserve"> </w:t>
      </w:r>
    </w:p>
    <w:p w:rsidR="003A0E06" w:rsidRPr="003A0E06" w:rsidRDefault="003A0E06" w:rsidP="003A0E06"/>
    <w:p w:rsidR="003A0E06" w:rsidRPr="003A0E06" w:rsidRDefault="003A0E06" w:rsidP="003A0E06">
      <w:r w:rsidRPr="003A0E06">
        <w:t>Serious Incidents in the NHS</w:t>
      </w:r>
      <w:r w:rsidR="004D3FCC">
        <w:t xml:space="preserve"> </w:t>
      </w:r>
      <w:r w:rsidRPr="003A0E06">
        <w:t>include:</w:t>
      </w:r>
    </w:p>
    <w:p w:rsidR="003A0E06" w:rsidRDefault="003A0E06" w:rsidP="003A0E06">
      <w:pPr>
        <w:rPr>
          <w:sz w:val="6"/>
          <w:szCs w:val="6"/>
        </w:rPr>
      </w:pPr>
    </w:p>
    <w:p w:rsidR="00957E17" w:rsidRPr="009C1A45" w:rsidRDefault="00957E17" w:rsidP="003A0E06">
      <w:pPr>
        <w:rPr>
          <w:sz w:val="6"/>
          <w:szCs w:val="6"/>
        </w:rPr>
      </w:pPr>
    </w:p>
    <w:p w:rsidR="003A0E06" w:rsidRDefault="003A0E06" w:rsidP="002F11B3">
      <w:pPr>
        <w:numPr>
          <w:ilvl w:val="0"/>
          <w:numId w:val="2"/>
        </w:numPr>
      </w:pPr>
      <w:r w:rsidRPr="003A0E06">
        <w:t>Acts and/or omission</w:t>
      </w:r>
      <w:r w:rsidR="00494925">
        <w:t>s</w:t>
      </w:r>
      <w:r w:rsidRPr="003A0E06">
        <w:t xml:space="preserve"> </w:t>
      </w:r>
      <w:r w:rsidRPr="003A0E06">
        <w:rPr>
          <w:lang w:val="en-US"/>
        </w:rPr>
        <w:t>occurring as part of NHS-funded healthcare (including in the community)</w:t>
      </w:r>
      <w:r w:rsidR="00CF03F8">
        <w:t xml:space="preserve"> that result in:</w:t>
      </w:r>
    </w:p>
    <w:p w:rsidR="00CF03F8" w:rsidRDefault="00CF03F8" w:rsidP="00CF03F8">
      <w:pPr>
        <w:ind w:left="360"/>
        <w:rPr>
          <w:sz w:val="6"/>
          <w:szCs w:val="6"/>
        </w:rPr>
      </w:pPr>
    </w:p>
    <w:p w:rsidR="00957E17" w:rsidRPr="009C1A45" w:rsidRDefault="00957E17" w:rsidP="00CF03F8">
      <w:pPr>
        <w:ind w:left="360"/>
        <w:rPr>
          <w:sz w:val="6"/>
          <w:szCs w:val="6"/>
        </w:rPr>
      </w:pPr>
    </w:p>
    <w:p w:rsidR="005970DE" w:rsidRDefault="00CF03F8" w:rsidP="002F11B3">
      <w:pPr>
        <w:numPr>
          <w:ilvl w:val="1"/>
          <w:numId w:val="2"/>
        </w:numPr>
      </w:pPr>
      <w:r w:rsidRPr="003A0E06">
        <w:t>Unexpected</w:t>
      </w:r>
      <w:r w:rsidR="003A0E06" w:rsidRPr="003A0E06">
        <w:t xml:space="preserve"> or avoidable death</w:t>
      </w:r>
      <w:r w:rsidR="00575015" w:rsidRPr="003A0E06">
        <w:rPr>
          <w:vertAlign w:val="superscript"/>
        </w:rPr>
        <w:footnoteReference w:id="8"/>
      </w:r>
      <w:r w:rsidR="003A0E06" w:rsidRPr="003A0E06">
        <w:t xml:space="preserve"> of one or </w:t>
      </w:r>
      <w:r>
        <w:t>more people</w:t>
      </w:r>
      <w:r w:rsidR="003A0E06" w:rsidRPr="003A0E06">
        <w:t xml:space="preserve">. This includes </w:t>
      </w:r>
      <w:r w:rsidR="005970DE">
        <w:t xml:space="preserve"> </w:t>
      </w:r>
    </w:p>
    <w:p w:rsidR="005970DE" w:rsidRDefault="003A0E06" w:rsidP="002F11B3">
      <w:pPr>
        <w:numPr>
          <w:ilvl w:val="2"/>
          <w:numId w:val="2"/>
        </w:numPr>
      </w:pPr>
      <w:r w:rsidRPr="003A0E06">
        <w:t>suicide/self-inflicted death</w:t>
      </w:r>
      <w:r w:rsidR="00494925">
        <w:t>;</w:t>
      </w:r>
      <w:r w:rsidR="009A08DE">
        <w:t xml:space="preserve"> and </w:t>
      </w:r>
    </w:p>
    <w:p w:rsidR="003A0E06" w:rsidRDefault="009A08DE" w:rsidP="002F11B3">
      <w:pPr>
        <w:numPr>
          <w:ilvl w:val="2"/>
          <w:numId w:val="2"/>
        </w:numPr>
      </w:pPr>
      <w:r>
        <w:t>homicide by a person in receipt of mental health care</w:t>
      </w:r>
      <w:r w:rsidR="00494925">
        <w:t xml:space="preserve"> within the recent past</w:t>
      </w:r>
      <w:r>
        <w:rPr>
          <w:rStyle w:val="FootnoteReference"/>
        </w:rPr>
        <w:footnoteReference w:id="9"/>
      </w:r>
      <w:r w:rsidR="005970DE">
        <w:t xml:space="preserve"> </w:t>
      </w:r>
      <w:r w:rsidR="005970DE" w:rsidRPr="005970DE">
        <w:t xml:space="preserve">(see </w:t>
      </w:r>
      <w:r w:rsidR="005A7486">
        <w:t>A</w:t>
      </w:r>
      <w:r w:rsidR="005970DE" w:rsidRPr="005970DE">
        <w:t>ppendix 1)</w:t>
      </w:r>
      <w:r w:rsidR="003A0E06" w:rsidRPr="003A0E06">
        <w:t>;</w:t>
      </w:r>
    </w:p>
    <w:p w:rsidR="003872D0" w:rsidRPr="00957E17" w:rsidRDefault="003872D0" w:rsidP="003872D0">
      <w:pPr>
        <w:ind w:left="1080"/>
        <w:rPr>
          <w:sz w:val="16"/>
          <w:szCs w:val="16"/>
        </w:rPr>
      </w:pPr>
    </w:p>
    <w:p w:rsidR="00957E17" w:rsidRDefault="00013CAD" w:rsidP="002F11B3">
      <w:pPr>
        <w:numPr>
          <w:ilvl w:val="1"/>
          <w:numId w:val="2"/>
        </w:numPr>
      </w:pPr>
      <w:r>
        <w:t>U</w:t>
      </w:r>
      <w:r w:rsidR="003A0E06" w:rsidRPr="003A0E06">
        <w:t>nexpected or avoidable injury to one or m</w:t>
      </w:r>
      <w:r w:rsidR="003F0EB2">
        <w:t>ore people that has resulted in serious harm</w:t>
      </w:r>
      <w:r w:rsidR="005A7486">
        <w:t>;</w:t>
      </w:r>
    </w:p>
    <w:p w:rsidR="00957E17" w:rsidRPr="00957E17" w:rsidRDefault="00957E17" w:rsidP="00957E17">
      <w:pPr>
        <w:ind w:left="1080"/>
        <w:rPr>
          <w:sz w:val="16"/>
          <w:szCs w:val="16"/>
        </w:rPr>
      </w:pPr>
    </w:p>
    <w:p w:rsidR="003A0E06" w:rsidRPr="003A0E06" w:rsidRDefault="00013CAD" w:rsidP="002F11B3">
      <w:pPr>
        <w:numPr>
          <w:ilvl w:val="1"/>
          <w:numId w:val="2"/>
        </w:numPr>
      </w:pPr>
      <w:r>
        <w:t>U</w:t>
      </w:r>
      <w:r w:rsidR="003A0E06" w:rsidRPr="003A0E06">
        <w:t>nexpected or avoidable injury to one or more people that requires further treatment by a healthcare professional in order to prevent</w:t>
      </w:r>
      <w:r w:rsidR="008A6C72">
        <w:t>:</w:t>
      </w:r>
      <w:r w:rsidR="003A0E06" w:rsidRPr="003A0E06">
        <w:t>—</w:t>
      </w:r>
    </w:p>
    <w:p w:rsidR="003A0E06" w:rsidRPr="003A0E06" w:rsidRDefault="003A0E06" w:rsidP="002F11B3">
      <w:pPr>
        <w:numPr>
          <w:ilvl w:val="0"/>
          <w:numId w:val="3"/>
        </w:numPr>
      </w:pPr>
      <w:r w:rsidRPr="003A0E06">
        <w:t>the death of the service user; or</w:t>
      </w:r>
    </w:p>
    <w:p w:rsidR="00DD4BC4" w:rsidRDefault="003F0EB2" w:rsidP="002F11B3">
      <w:pPr>
        <w:numPr>
          <w:ilvl w:val="0"/>
          <w:numId w:val="3"/>
        </w:numPr>
      </w:pPr>
      <w:r>
        <w:t>serious harm</w:t>
      </w:r>
      <w:r w:rsidR="008A6C72">
        <w:t>;</w:t>
      </w:r>
    </w:p>
    <w:p w:rsidR="00DD4BC4" w:rsidRPr="00957E17" w:rsidRDefault="00DD4BC4" w:rsidP="009B1C02">
      <w:pPr>
        <w:ind w:left="2160"/>
        <w:rPr>
          <w:sz w:val="16"/>
          <w:szCs w:val="16"/>
        </w:rPr>
      </w:pPr>
    </w:p>
    <w:p w:rsidR="00DD4BC4" w:rsidRDefault="00C15C13" w:rsidP="0072371B">
      <w:pPr>
        <w:pStyle w:val="ListParagraph"/>
        <w:numPr>
          <w:ilvl w:val="0"/>
          <w:numId w:val="35"/>
        </w:numPr>
        <w:ind w:left="1134" w:hanging="425"/>
      </w:pPr>
      <w:r>
        <w:t>Actual or alleged a</w:t>
      </w:r>
      <w:r w:rsidR="00DD4BC4">
        <w:t>buse; sexual abuse, physical or psychological ill-treatment, or acts of om</w:t>
      </w:r>
      <w:r>
        <w:t xml:space="preserve">ission which constitute neglect, exploitation, financial or material abuse, </w:t>
      </w:r>
      <w:r w:rsidR="007E7AAA">
        <w:t xml:space="preserve">discriminative and organisational abuse, self-neglect, domestic abuse, human trafficking and modern day slavery </w:t>
      </w:r>
      <w:r>
        <w:t>where</w:t>
      </w:r>
      <w:r w:rsidR="008A6C72">
        <w:t>:</w:t>
      </w:r>
    </w:p>
    <w:p w:rsidR="00DD4BC4" w:rsidRPr="009C1A45" w:rsidRDefault="00DD4BC4" w:rsidP="00DD4BC4">
      <w:pPr>
        <w:rPr>
          <w:sz w:val="6"/>
          <w:szCs w:val="6"/>
        </w:rPr>
      </w:pPr>
    </w:p>
    <w:p w:rsidR="00C15C13" w:rsidRDefault="00DD4BC4" w:rsidP="0072371B">
      <w:pPr>
        <w:pStyle w:val="ListParagraph"/>
        <w:numPr>
          <w:ilvl w:val="0"/>
          <w:numId w:val="36"/>
        </w:numPr>
      </w:pPr>
      <w:r>
        <w:t>healthcare did not take appropriate action/intervention to safeguard against such</w:t>
      </w:r>
      <w:r w:rsidR="00620336">
        <w:t xml:space="preserve"> abuse occurring</w:t>
      </w:r>
      <w:r w:rsidR="00B15779">
        <w:rPr>
          <w:rStyle w:val="FootnoteReference"/>
        </w:rPr>
        <w:footnoteReference w:id="10"/>
      </w:r>
      <w:r w:rsidR="00C15C13">
        <w:t>;</w:t>
      </w:r>
      <w:r w:rsidR="00620336">
        <w:t xml:space="preserve"> or </w:t>
      </w:r>
    </w:p>
    <w:p w:rsidR="00DD4BC4" w:rsidRDefault="00620336" w:rsidP="0072371B">
      <w:pPr>
        <w:pStyle w:val="ListParagraph"/>
        <w:numPr>
          <w:ilvl w:val="0"/>
          <w:numId w:val="36"/>
        </w:numPr>
      </w:pPr>
      <w:r>
        <w:t>where abuse</w:t>
      </w:r>
      <w:r w:rsidR="00DD4BC4">
        <w:t xml:space="preserve"> occurred during the provision of NHS-funded care</w:t>
      </w:r>
      <w:r w:rsidR="008A6C72">
        <w:t>.</w:t>
      </w:r>
      <w:r w:rsidR="00DD4BC4">
        <w:t xml:space="preserve"> </w:t>
      </w:r>
    </w:p>
    <w:p w:rsidR="00C15C13" w:rsidRPr="009C1A45" w:rsidRDefault="00C15C13" w:rsidP="00C15C13">
      <w:pPr>
        <w:ind w:left="360"/>
        <w:rPr>
          <w:sz w:val="6"/>
          <w:szCs w:val="6"/>
        </w:rPr>
      </w:pPr>
    </w:p>
    <w:p w:rsidR="00DD4BC4" w:rsidRDefault="00C15C13" w:rsidP="00B23031">
      <w:pPr>
        <w:ind w:left="1134"/>
      </w:pPr>
      <w:r>
        <w:t xml:space="preserve">This includes </w:t>
      </w:r>
      <w:r w:rsidR="00DD4BC4">
        <w:t xml:space="preserve">abuse that resulted in (or </w:t>
      </w:r>
      <w:r>
        <w:t xml:space="preserve">was </w:t>
      </w:r>
      <w:r w:rsidR="00DD4BC4">
        <w:t>identified through) a Serious Case Re</w:t>
      </w:r>
      <w:r w:rsidR="00E44D51">
        <w:t>view (SCR), Safeguarding Adult R</w:t>
      </w:r>
      <w:r w:rsidR="00DD4BC4">
        <w:t>eview (SAR)</w:t>
      </w:r>
      <w:r w:rsidR="00AB4B1A">
        <w:t>, Safeguarding Adult Enquiry</w:t>
      </w:r>
      <w:r w:rsidR="00DD4BC4">
        <w:t xml:space="preserve"> or other externally</w:t>
      </w:r>
      <w:r w:rsidR="008A42F0">
        <w:t>-</w:t>
      </w:r>
      <w:r w:rsidR="00DD4BC4">
        <w:t>led investigation</w:t>
      </w:r>
      <w:r>
        <w:t>,</w:t>
      </w:r>
      <w:r w:rsidR="00DD4BC4">
        <w:t xml:space="preserve"> wh</w:t>
      </w:r>
      <w:r>
        <w:t xml:space="preserve">ere delivery of NHS funded care </w:t>
      </w:r>
      <w:r w:rsidR="00DD4BC4">
        <w:t>caused/contributed towards the incident</w:t>
      </w:r>
      <w:r w:rsidR="00652567">
        <w:t xml:space="preserve"> (see </w:t>
      </w:r>
      <w:r w:rsidR="008A6C72">
        <w:t>P</w:t>
      </w:r>
      <w:r w:rsidR="00332F94">
        <w:t xml:space="preserve">art </w:t>
      </w:r>
      <w:r w:rsidR="008A6C72">
        <w:t>O</w:t>
      </w:r>
      <w:r w:rsidR="00332F94">
        <w:t xml:space="preserve">ne; </w:t>
      </w:r>
      <w:r w:rsidR="00652567">
        <w:t>section</w:t>
      </w:r>
      <w:r w:rsidR="008A6C72">
        <w:t>s</w:t>
      </w:r>
      <w:r w:rsidR="00AB4B1A">
        <w:t xml:space="preserve"> 1.3 and </w:t>
      </w:r>
      <w:r w:rsidR="00652567">
        <w:t>1.5 for further information)</w:t>
      </w:r>
      <w:r w:rsidR="00DD4BC4">
        <w:t>.</w:t>
      </w:r>
    </w:p>
    <w:p w:rsidR="00B266A6" w:rsidRPr="00957E17" w:rsidRDefault="00B266A6" w:rsidP="00B266A6">
      <w:pPr>
        <w:ind w:left="360"/>
        <w:rPr>
          <w:sz w:val="16"/>
          <w:szCs w:val="16"/>
        </w:rPr>
      </w:pPr>
    </w:p>
    <w:p w:rsidR="003A0E06" w:rsidRDefault="00AB4B1A" w:rsidP="002F11B3">
      <w:pPr>
        <w:numPr>
          <w:ilvl w:val="0"/>
          <w:numId w:val="2"/>
        </w:numPr>
      </w:pPr>
      <w:r>
        <w:t>A N</w:t>
      </w:r>
      <w:r w:rsidR="003A0E06" w:rsidRPr="003A0E06">
        <w:t xml:space="preserve">ever </w:t>
      </w:r>
      <w:r w:rsidR="008A6C72">
        <w:t>E</w:t>
      </w:r>
      <w:r w:rsidR="003A0E06" w:rsidRPr="003A0E06">
        <w:t xml:space="preserve">vent - all </w:t>
      </w:r>
      <w:r w:rsidR="008A6C72">
        <w:t>N</w:t>
      </w:r>
      <w:r w:rsidR="003A0E06" w:rsidRPr="003A0E06">
        <w:t xml:space="preserve">ever </w:t>
      </w:r>
      <w:r w:rsidR="008A6C72">
        <w:t>E</w:t>
      </w:r>
      <w:r w:rsidR="003A0E06" w:rsidRPr="003A0E06">
        <w:t xml:space="preserve">vents are defined as serious incidents although not all </w:t>
      </w:r>
      <w:r w:rsidR="008A6C72">
        <w:t>N</w:t>
      </w:r>
      <w:r w:rsidR="003A0E06" w:rsidRPr="003A0E06">
        <w:t xml:space="preserve">ever </w:t>
      </w:r>
      <w:r w:rsidR="008A6C72">
        <w:t>E</w:t>
      </w:r>
      <w:r w:rsidR="003A0E06" w:rsidRPr="003A0E06">
        <w:t xml:space="preserve">vents necessarily result in serious harm or death. See Never Events </w:t>
      </w:r>
      <w:r w:rsidR="00934A5C">
        <w:t xml:space="preserve">Policy and </w:t>
      </w:r>
      <w:r w:rsidR="005A7486">
        <w:t>Framework</w:t>
      </w:r>
      <w:r w:rsidR="00934A5C">
        <w:t xml:space="preserve"> for</w:t>
      </w:r>
      <w:r w:rsidR="009D7B6B">
        <w:t xml:space="preserve"> the</w:t>
      </w:r>
      <w:r w:rsidR="00934A5C">
        <w:t xml:space="preserve"> national definition</w:t>
      </w:r>
      <w:r w:rsidR="002938D0">
        <w:t xml:space="preserve"> and further information</w:t>
      </w:r>
      <w:r w:rsidR="008A6C72">
        <w:t>;</w:t>
      </w:r>
      <w:r w:rsidR="00335DAC">
        <w:rPr>
          <w:rStyle w:val="FootnoteReference"/>
        </w:rPr>
        <w:footnoteReference w:id="11"/>
      </w:r>
    </w:p>
    <w:p w:rsidR="00B266A6" w:rsidRPr="003A0E06" w:rsidRDefault="00B266A6" w:rsidP="00B266A6"/>
    <w:p w:rsidR="003A0E06" w:rsidRDefault="003A0E06" w:rsidP="002F11B3">
      <w:pPr>
        <w:numPr>
          <w:ilvl w:val="0"/>
          <w:numId w:val="2"/>
        </w:numPr>
      </w:pPr>
      <w:r w:rsidRPr="003A0E06">
        <w:t>An incident (or series of incidents) that prevents, or threatens to prevent, an organisation’s ability to continue to deliver an acceptable quality of healthcare services, including</w:t>
      </w:r>
      <w:r w:rsidR="00671749">
        <w:t xml:space="preserve"> (but not limited to)</w:t>
      </w:r>
      <w:r w:rsidRPr="003A0E06">
        <w:t xml:space="preserve"> the following:</w:t>
      </w:r>
    </w:p>
    <w:p w:rsidR="00B266A6" w:rsidRPr="009C1A45" w:rsidRDefault="00B266A6" w:rsidP="00B266A6">
      <w:pPr>
        <w:rPr>
          <w:sz w:val="6"/>
          <w:szCs w:val="6"/>
        </w:rPr>
      </w:pPr>
    </w:p>
    <w:p w:rsidR="003A0E06" w:rsidRPr="003A0E06" w:rsidRDefault="00013CAD" w:rsidP="00013CAD">
      <w:pPr>
        <w:numPr>
          <w:ilvl w:val="1"/>
          <w:numId w:val="2"/>
        </w:numPr>
      </w:pPr>
      <w:r w:rsidRPr="00013CAD">
        <w:lastRenderedPageBreak/>
        <w:t xml:space="preserve">Failures in the security, </w:t>
      </w:r>
      <w:r w:rsidR="003C06BA">
        <w:t xml:space="preserve">integrity, </w:t>
      </w:r>
      <w:r w:rsidRPr="00013CAD">
        <w:t>accuracy or availability of information</w:t>
      </w:r>
      <w:r w:rsidR="003C06BA">
        <w:t xml:space="preserve"> often described as data loss and/or information governance related issues</w:t>
      </w:r>
      <w:r w:rsidRPr="00013CAD">
        <w:t xml:space="preserve"> </w:t>
      </w:r>
      <w:r w:rsidR="003E4BDD">
        <w:t xml:space="preserve">(see </w:t>
      </w:r>
      <w:r w:rsidR="008A6C72">
        <w:t>A</w:t>
      </w:r>
      <w:r w:rsidR="003E4BDD">
        <w:t xml:space="preserve">ppendix </w:t>
      </w:r>
      <w:r w:rsidR="009A08DE">
        <w:t xml:space="preserve">2 </w:t>
      </w:r>
      <w:r w:rsidR="003E4BDD">
        <w:t>for further information)</w:t>
      </w:r>
      <w:r w:rsidR="003A0E06" w:rsidRPr="003A0E06">
        <w:t>;</w:t>
      </w:r>
    </w:p>
    <w:p w:rsidR="003A0E06" w:rsidRPr="003A0E06" w:rsidRDefault="00162616" w:rsidP="002F11B3">
      <w:pPr>
        <w:numPr>
          <w:ilvl w:val="1"/>
          <w:numId w:val="2"/>
        </w:numPr>
      </w:pPr>
      <w:r>
        <w:t>P</w:t>
      </w:r>
      <w:r w:rsidR="003A0E06" w:rsidRPr="003A0E06">
        <w:t>roperty damage;</w:t>
      </w:r>
    </w:p>
    <w:p w:rsidR="003A0E06" w:rsidRPr="003A0E06" w:rsidRDefault="00162616" w:rsidP="002F11B3">
      <w:pPr>
        <w:numPr>
          <w:ilvl w:val="1"/>
          <w:numId w:val="2"/>
        </w:numPr>
      </w:pPr>
      <w:r>
        <w:t>S</w:t>
      </w:r>
      <w:r w:rsidR="003A0E06" w:rsidRPr="003A0E06">
        <w:t>ecurity breach</w:t>
      </w:r>
      <w:r w:rsidR="00553257">
        <w:t>/concern</w:t>
      </w:r>
      <w:r w:rsidR="008A6C72">
        <w:t>;</w:t>
      </w:r>
      <w:r w:rsidR="00D549AD">
        <w:rPr>
          <w:rStyle w:val="FootnoteReference"/>
        </w:rPr>
        <w:footnoteReference w:id="12"/>
      </w:r>
    </w:p>
    <w:p w:rsidR="003A0E06" w:rsidRDefault="003A0E06" w:rsidP="002F11B3">
      <w:pPr>
        <w:numPr>
          <w:ilvl w:val="1"/>
          <w:numId w:val="2"/>
        </w:numPr>
      </w:pPr>
      <w:r w:rsidRPr="003A0E06">
        <w:t>Incidents in population-wide healthcare activities like screening</w:t>
      </w:r>
      <w:r w:rsidRPr="003A0E06">
        <w:rPr>
          <w:vertAlign w:val="superscript"/>
        </w:rPr>
        <w:footnoteReference w:id="13"/>
      </w:r>
      <w:r w:rsidRPr="003A0E06">
        <w:t xml:space="preserve"> and immunisation programmes where the potential for harm may extend to a large population;</w:t>
      </w:r>
    </w:p>
    <w:p w:rsidR="00F561A7" w:rsidRPr="003A0E06" w:rsidRDefault="00D72E99" w:rsidP="002F11B3">
      <w:pPr>
        <w:pStyle w:val="ListParagraph"/>
        <w:numPr>
          <w:ilvl w:val="1"/>
          <w:numId w:val="2"/>
        </w:numPr>
      </w:pPr>
      <w:r>
        <w:t>Inappropriate enforcement/care under</w:t>
      </w:r>
      <w:r w:rsidR="00F561A7" w:rsidRPr="00F561A7">
        <w:t xml:space="preserve"> the Mental Health Act (</w:t>
      </w:r>
      <w:r w:rsidR="00EF205B">
        <w:t>1983) and</w:t>
      </w:r>
      <w:r w:rsidR="00F561A7" w:rsidRPr="00F561A7">
        <w:t xml:space="preserve"> the Mental Capacity Act (200</w:t>
      </w:r>
      <w:r w:rsidR="00EF205B">
        <w:t>5</w:t>
      </w:r>
      <w:r w:rsidR="00F561A7" w:rsidRPr="00F561A7">
        <w:t xml:space="preserve">) </w:t>
      </w:r>
      <w:r w:rsidR="00EF205B">
        <w:t xml:space="preserve">including </w:t>
      </w:r>
      <w:r w:rsidR="00EF205B" w:rsidRPr="00EF205B">
        <w:t>Mental Capacity Act</w:t>
      </w:r>
      <w:r w:rsidR="00EF205B">
        <w:t xml:space="preserve">, </w:t>
      </w:r>
      <w:r w:rsidR="00EF205B" w:rsidRPr="00EF205B">
        <w:t>Deprivation of Liberty Safeguards (MCA DOLS</w:t>
      </w:r>
      <w:r w:rsidR="00EF205B">
        <w:t>)</w:t>
      </w:r>
      <w:r w:rsidR="008A42F0">
        <w:t>;</w:t>
      </w:r>
    </w:p>
    <w:p w:rsidR="003E4BDD" w:rsidRDefault="003A0E06" w:rsidP="002F11B3">
      <w:pPr>
        <w:numPr>
          <w:ilvl w:val="1"/>
          <w:numId w:val="2"/>
        </w:numPr>
      </w:pPr>
      <w:r w:rsidRPr="003A0E06">
        <w:t xml:space="preserve">Systematic failure to provide </w:t>
      </w:r>
      <w:r w:rsidR="008A6C72">
        <w:t xml:space="preserve">an </w:t>
      </w:r>
      <w:r w:rsidRPr="003A0E06">
        <w:t>a</w:t>
      </w:r>
      <w:r w:rsidR="003E4BDD">
        <w:t>cceptable standard of safe care</w:t>
      </w:r>
      <w:r w:rsidR="008D757C">
        <w:t xml:space="preserve"> (this may include incidents, </w:t>
      </w:r>
      <w:r w:rsidRPr="003A0E06">
        <w:t>or series of incidents</w:t>
      </w:r>
      <w:r w:rsidR="008D757C">
        <w:t>,</w:t>
      </w:r>
      <w:r w:rsidRPr="003A0E06">
        <w:t xml:space="preserve"> which necessitate ward/ unit closure or suspension of services</w:t>
      </w:r>
      <w:r w:rsidRPr="003A0E06">
        <w:rPr>
          <w:vertAlign w:val="superscript"/>
        </w:rPr>
        <w:footnoteReference w:id="14"/>
      </w:r>
      <w:r w:rsidR="008D757C">
        <w:t>)</w:t>
      </w:r>
      <w:r w:rsidR="008A42F0">
        <w:t>; or</w:t>
      </w:r>
    </w:p>
    <w:p w:rsidR="00B266A6" w:rsidRPr="003A0E06" w:rsidRDefault="00620336" w:rsidP="002F11B3">
      <w:pPr>
        <w:numPr>
          <w:ilvl w:val="1"/>
          <w:numId w:val="2"/>
        </w:numPr>
      </w:pPr>
      <w:r>
        <w:t>Activation of Maj</w:t>
      </w:r>
      <w:r w:rsidR="00346A04">
        <w:t>or Incident Plan (by provider,</w:t>
      </w:r>
      <w:r>
        <w:t xml:space="preserve"> commissioner</w:t>
      </w:r>
      <w:r w:rsidR="00346A04">
        <w:t xml:space="preserve"> </w:t>
      </w:r>
      <w:r w:rsidR="00D27259">
        <w:t xml:space="preserve"> or relevant agency</w:t>
      </w:r>
      <w:r>
        <w:t>)</w:t>
      </w:r>
      <w:r w:rsidR="00346A04">
        <w:rPr>
          <w:rStyle w:val="FootnoteReference"/>
        </w:rPr>
        <w:footnoteReference w:id="15"/>
      </w:r>
    </w:p>
    <w:p w:rsidR="00B266A6" w:rsidRPr="009C1A45" w:rsidRDefault="00B266A6" w:rsidP="00B266A6">
      <w:pPr>
        <w:ind w:left="1080"/>
        <w:rPr>
          <w:sz w:val="6"/>
          <w:szCs w:val="6"/>
        </w:rPr>
      </w:pPr>
    </w:p>
    <w:p w:rsidR="003A0E06" w:rsidRDefault="003A0E06" w:rsidP="002F11B3">
      <w:pPr>
        <w:numPr>
          <w:ilvl w:val="0"/>
          <w:numId w:val="2"/>
        </w:numPr>
      </w:pPr>
      <w:r w:rsidRPr="003A0E06">
        <w:t>Major loss of confidence in the service, including prolonged adverse media coverage or public concern about the quality of healthcare or an organisation</w:t>
      </w:r>
      <w:r w:rsidRPr="003A0E06">
        <w:rPr>
          <w:vertAlign w:val="superscript"/>
        </w:rPr>
        <w:footnoteReference w:id="16"/>
      </w:r>
      <w:r w:rsidRPr="003A0E06">
        <w:t>.</w:t>
      </w:r>
    </w:p>
    <w:p w:rsidR="00891B82" w:rsidRPr="003A0E06" w:rsidRDefault="00891B82" w:rsidP="00891B82">
      <w:pPr>
        <w:ind w:left="360"/>
      </w:pPr>
    </w:p>
    <w:p w:rsidR="003A0E06" w:rsidRPr="003A0E06" w:rsidRDefault="00891B82" w:rsidP="0072371B">
      <w:pPr>
        <w:pStyle w:val="Heading2"/>
        <w:numPr>
          <w:ilvl w:val="1"/>
          <w:numId w:val="24"/>
        </w:numPr>
      </w:pPr>
      <w:bookmarkStart w:id="15" w:name="_Toc414568027"/>
      <w:r>
        <w:t>Assessing whether an incident is a serious incident</w:t>
      </w:r>
      <w:bookmarkEnd w:id="15"/>
    </w:p>
    <w:p w:rsidR="009A4B6E" w:rsidRDefault="003A0E06" w:rsidP="003A0E06">
      <w:r w:rsidRPr="003A0E06">
        <w:t xml:space="preserve">In many cases it will be immediately clear that a serious incident has occurred and further investigation will be required to discover what </w:t>
      </w:r>
      <w:r w:rsidR="009522F6">
        <w:t xml:space="preserve">exactly </w:t>
      </w:r>
      <w:r w:rsidRPr="003A0E06">
        <w:t>went wrong, how it went wrong</w:t>
      </w:r>
      <w:r w:rsidR="009A4B6E">
        <w:t xml:space="preserve"> (from a human factors and systems</w:t>
      </w:r>
      <w:r w:rsidR="008A42F0">
        <w:t>-</w:t>
      </w:r>
      <w:r w:rsidR="009A4B6E">
        <w:t>based approach)</w:t>
      </w:r>
      <w:r w:rsidRPr="003A0E06">
        <w:t xml:space="preserve"> and what may be done to</w:t>
      </w:r>
      <w:r w:rsidR="009522F6">
        <w:t xml:space="preserve"> address the weakness to prevent the incident from</w:t>
      </w:r>
      <w:r w:rsidRPr="003A0E06">
        <w:t xml:space="preserve"> happening again. </w:t>
      </w:r>
    </w:p>
    <w:p w:rsidR="009A4B6E" w:rsidRDefault="009A4B6E" w:rsidP="003A0E06"/>
    <w:p w:rsidR="003A0E06" w:rsidRPr="003A0E06" w:rsidRDefault="003A0E06" w:rsidP="003A0E06">
      <w:r w:rsidRPr="003A0E06">
        <w:t>Wh</w:t>
      </w:r>
      <w:r w:rsidR="007F234F">
        <w:t>ilst a serious outcome (such as the death of a patient who was not expected to die or where someone requires on going/long term treatment due to unforeseen and unexpected consequences of health intervention</w:t>
      </w:r>
      <w:r w:rsidRPr="003A0E06">
        <w:t>) can provide a trigger</w:t>
      </w:r>
      <w:r w:rsidR="009D5416">
        <w:t xml:space="preserve"> for identifying serious incidents</w:t>
      </w:r>
      <w:r w:rsidRPr="003A0E06">
        <w:t>, outcome alone is not always enough to delineate what counts as a serious incident. The NHS strives to achieve the very best outcomes</w:t>
      </w:r>
      <w:r w:rsidR="007F234F">
        <w:t xml:space="preserve"> but</w:t>
      </w:r>
      <w:r w:rsidRPr="003A0E06">
        <w:t xml:space="preserve"> this </w:t>
      </w:r>
      <w:r w:rsidR="00925258">
        <w:t>may not always be achievable. Upsetting</w:t>
      </w:r>
      <w:r w:rsidRPr="003A0E06">
        <w:t xml:space="preserve"> outcomes are n</w:t>
      </w:r>
      <w:r w:rsidR="00925258">
        <w:t>ot always the result of error/</w:t>
      </w:r>
      <w:r w:rsidRPr="003A0E06">
        <w:t xml:space="preserve"> acts and/ or omissions in care. </w:t>
      </w:r>
      <w:r w:rsidR="00B6733F">
        <w:t>Equally some incident</w:t>
      </w:r>
      <w:r w:rsidR="002607BB">
        <w:t>s</w:t>
      </w:r>
      <w:r w:rsidR="00B6733F">
        <w:t xml:space="preserve">, such as those which require activation of </w:t>
      </w:r>
      <w:r w:rsidR="008A42F0">
        <w:t xml:space="preserve">a </w:t>
      </w:r>
      <w:r w:rsidR="00B6733F">
        <w:t>major incident plan for example, may not reveal omissions in care or service delivery and may not have been preventable in the given circumstances</w:t>
      </w:r>
      <w:r w:rsidR="008A6C72">
        <w:t>.</w:t>
      </w:r>
      <w:r w:rsidR="00B6733F">
        <w:t xml:space="preserve"> </w:t>
      </w:r>
      <w:r w:rsidR="008A6C72">
        <w:t>H</w:t>
      </w:r>
      <w:r w:rsidR="00B6733F">
        <w:t>owever, this should be established through thorough investigation and action to mitigate future risks should be determined</w:t>
      </w:r>
      <w:r w:rsidR="009D5416">
        <w:t>.</w:t>
      </w:r>
    </w:p>
    <w:p w:rsidR="003A0E06" w:rsidRPr="003A0E06" w:rsidRDefault="003A0E06" w:rsidP="003A0E06"/>
    <w:p w:rsidR="003A0E06" w:rsidRDefault="003A0E06" w:rsidP="003A0E06">
      <w:r w:rsidRPr="003A0E06">
        <w:t>Where it is not clear w</w:t>
      </w:r>
      <w:r w:rsidR="007F234F">
        <w:t>hether or not an incident</w:t>
      </w:r>
      <w:r w:rsidRPr="003A0E06">
        <w:t xml:space="preserve"> fulfils the definition of a serious incident, providers and commissioners must engage in open an</w:t>
      </w:r>
      <w:r w:rsidR="007F234F">
        <w:t>d honest discussions to agree the</w:t>
      </w:r>
      <w:r w:rsidRPr="003A0E06">
        <w:t xml:space="preserve"> appropriate and proportionate response. It may be unclear initially whether any </w:t>
      </w:r>
      <w:r w:rsidR="009522F6">
        <w:t xml:space="preserve">weaknesses in a system or process (including </w:t>
      </w:r>
      <w:r w:rsidRPr="003A0E06">
        <w:t>acts or omissions in care</w:t>
      </w:r>
      <w:r w:rsidR="009522F6">
        <w:t>)</w:t>
      </w:r>
      <w:r w:rsidRPr="003A0E06">
        <w:t xml:space="preserve"> </w:t>
      </w:r>
      <w:r w:rsidRPr="003A0E06">
        <w:lastRenderedPageBreak/>
        <w:t>cause</w:t>
      </w:r>
      <w:r w:rsidR="004140FC">
        <w:t>d</w:t>
      </w:r>
      <w:r w:rsidRPr="003A0E06">
        <w:t xml:space="preserve"> or contribute</w:t>
      </w:r>
      <w:r w:rsidR="004140FC">
        <w:t>d</w:t>
      </w:r>
      <w:r w:rsidRPr="003A0E06">
        <w:t xml:space="preserve"> towards a serious outcome, but the simplest and most defensible position is to discuss openly, to investigate</w:t>
      </w:r>
      <w:r w:rsidR="00891B82">
        <w:t xml:space="preserve"> proportionately</w:t>
      </w:r>
      <w:r w:rsidR="00925258">
        <w:t xml:space="preserve"> and</w:t>
      </w:r>
      <w:r w:rsidRPr="003A0E06">
        <w:t xml:space="preserve"> to let the investigation decide. If a serious incident is declared but </w:t>
      </w:r>
      <w:r w:rsidR="004140FC">
        <w:t xml:space="preserve">further investigation reveals </w:t>
      </w:r>
      <w:r w:rsidRPr="003A0E06">
        <w:t xml:space="preserve">that </w:t>
      </w:r>
      <w:r w:rsidR="008A42F0">
        <w:t xml:space="preserve">the </w:t>
      </w:r>
      <w:r w:rsidRPr="003A0E06">
        <w:t>definition</w:t>
      </w:r>
      <w:r w:rsidR="008A42F0">
        <w:t xml:space="preserve"> of a serious incident</w:t>
      </w:r>
      <w:r w:rsidRPr="003A0E06">
        <w:t xml:space="preserve"> is not fulfilled</w:t>
      </w:r>
      <w:r w:rsidR="008A6C72">
        <w:t>-</w:t>
      </w:r>
      <w:r w:rsidRPr="003A0E06">
        <w:t xml:space="preserve"> for example there were no acts or omissions in care which</w:t>
      </w:r>
      <w:r w:rsidR="007F234F">
        <w:t xml:space="preserve"> caused or</w:t>
      </w:r>
      <w:r w:rsidRPr="003A0E06">
        <w:t xml:space="preserve"> co</w:t>
      </w:r>
      <w:r w:rsidR="004140FC">
        <w:t>ntributed towards the outcome</w:t>
      </w:r>
      <w:r w:rsidR="008A6C72">
        <w:t>-</w:t>
      </w:r>
      <w:r w:rsidR="004140FC">
        <w:t xml:space="preserve"> the</w:t>
      </w:r>
      <w:r w:rsidR="00891B82">
        <w:t xml:space="preserve"> incident can be downgraded. </w:t>
      </w:r>
      <w:r w:rsidRPr="003A0E06">
        <w:t>This can be agreed at any stage of the investigation and the purpose of any downgrading is to ensure efforts are focused on the incidents w</w:t>
      </w:r>
      <w:r w:rsidR="008A42F0">
        <w:t>h</w:t>
      </w:r>
      <w:r w:rsidRPr="003A0E06">
        <w:t xml:space="preserve">ere </w:t>
      </w:r>
      <w:r w:rsidR="00925258">
        <w:t xml:space="preserve">problems are identified and </w:t>
      </w:r>
      <w:r w:rsidRPr="003A0E06">
        <w:t xml:space="preserve">learning and action </w:t>
      </w:r>
      <w:r w:rsidR="008A6C72">
        <w:t>are</w:t>
      </w:r>
      <w:r w:rsidR="00957E17">
        <w:t xml:space="preserve"> </w:t>
      </w:r>
      <w:r w:rsidRPr="003A0E06">
        <w:t>required</w:t>
      </w:r>
      <w:r w:rsidR="003C06BA">
        <w:t xml:space="preserve"> (see </w:t>
      </w:r>
      <w:r w:rsidR="008A6C72">
        <w:t>P</w:t>
      </w:r>
      <w:r w:rsidR="006755D4">
        <w:t>art Three,</w:t>
      </w:r>
      <w:r w:rsidR="003C06BA">
        <w:t xml:space="preserve"> section 3 for further details relating to reporting)</w:t>
      </w:r>
      <w:r w:rsidRPr="003A0E06">
        <w:t xml:space="preserve">. </w:t>
      </w:r>
    </w:p>
    <w:p w:rsidR="006F24E0" w:rsidRDefault="006F24E0" w:rsidP="003A0E06"/>
    <w:p w:rsidR="003A0E06" w:rsidRPr="003A0E06" w:rsidRDefault="00891B82" w:rsidP="0072371B">
      <w:pPr>
        <w:pStyle w:val="Heading2"/>
        <w:numPr>
          <w:ilvl w:val="1"/>
          <w:numId w:val="24"/>
        </w:numPr>
      </w:pPr>
      <w:bookmarkStart w:id="16" w:name="_Toc414568028"/>
      <w:r>
        <w:t>Can a ‘near miss’ be a serious incident?</w:t>
      </w:r>
      <w:bookmarkEnd w:id="16"/>
    </w:p>
    <w:p w:rsidR="00705D40" w:rsidRDefault="005E0156" w:rsidP="003A0E06">
      <w:r>
        <w:t>It may be appropriate for a ‘near miss’ to be a</w:t>
      </w:r>
      <w:r w:rsidR="008A6C72">
        <w:t xml:space="preserve"> classed as a</w:t>
      </w:r>
      <w:r>
        <w:t xml:space="preserve"> serious incident because t</w:t>
      </w:r>
      <w:r w:rsidR="008A42F0">
        <w:t xml:space="preserve">he </w:t>
      </w:r>
      <w:r w:rsidR="003A0E06" w:rsidRPr="003A0E06">
        <w:t>outcome</w:t>
      </w:r>
      <w:r w:rsidR="00F133B2">
        <w:t xml:space="preserve"> </w:t>
      </w:r>
      <w:r w:rsidR="008A42F0">
        <w:t xml:space="preserve">of an incident </w:t>
      </w:r>
      <w:r w:rsidR="003A0E06" w:rsidRPr="003A0E06">
        <w:t>does not always reflect the potential severity</w:t>
      </w:r>
      <w:r w:rsidR="004140FC">
        <w:t xml:space="preserve"> </w:t>
      </w:r>
      <w:r w:rsidR="008A42F0">
        <w:t xml:space="preserve">of harm </w:t>
      </w:r>
      <w:r w:rsidR="004140FC">
        <w:t>that could be caused</w:t>
      </w:r>
      <w:r w:rsidR="003A0E06" w:rsidRPr="003A0E06">
        <w:t xml:space="preserve"> should the incident </w:t>
      </w:r>
      <w:r w:rsidR="007F234F">
        <w:t>(</w:t>
      </w:r>
      <w:r w:rsidR="003A0E06" w:rsidRPr="003A0E06">
        <w:t>or</w:t>
      </w:r>
      <w:r w:rsidR="008A42F0">
        <w:t xml:space="preserve"> a</w:t>
      </w:r>
      <w:r w:rsidR="003A0E06" w:rsidRPr="003A0E06">
        <w:t xml:space="preserve"> similar incident</w:t>
      </w:r>
      <w:r w:rsidR="007F234F">
        <w:t>)</w:t>
      </w:r>
      <w:r w:rsidR="003A0E06" w:rsidRPr="003A0E06">
        <w:t xml:space="preserve"> occur again. </w:t>
      </w:r>
      <w:r w:rsidR="008A42F0">
        <w:t xml:space="preserve">Deciding </w:t>
      </w:r>
      <w:r w:rsidR="005970DE">
        <w:t>whether or not a</w:t>
      </w:r>
      <w:r w:rsidR="00705D40">
        <w:t xml:space="preserve"> </w:t>
      </w:r>
      <w:r w:rsidR="005970DE">
        <w:t>‘near miss’</w:t>
      </w:r>
      <w:r w:rsidR="00705D40">
        <w:t xml:space="preserve"> should be </w:t>
      </w:r>
      <w:r w:rsidR="00B03003">
        <w:t xml:space="preserve">classified as </w:t>
      </w:r>
      <w:r w:rsidR="00705D40">
        <w:t>a serious incident should therefore be based on an assessment of risk that considers</w:t>
      </w:r>
      <w:r w:rsidR="008A6C72">
        <w:t>:</w:t>
      </w:r>
    </w:p>
    <w:p w:rsidR="00705D40" w:rsidRPr="009C1A45" w:rsidRDefault="00705D40" w:rsidP="003A0E06">
      <w:pPr>
        <w:rPr>
          <w:sz w:val="6"/>
          <w:szCs w:val="6"/>
        </w:rPr>
      </w:pPr>
    </w:p>
    <w:p w:rsidR="00705D40" w:rsidRDefault="008A6C72" w:rsidP="002F11B3">
      <w:pPr>
        <w:pStyle w:val="ListParagraph"/>
        <w:numPr>
          <w:ilvl w:val="1"/>
          <w:numId w:val="2"/>
        </w:numPr>
      </w:pPr>
      <w:r>
        <w:t>T</w:t>
      </w:r>
      <w:r w:rsidR="008A42F0">
        <w:t>he l</w:t>
      </w:r>
      <w:r w:rsidR="00705D40">
        <w:t>ikelihood of the incident occurring again if current systems/process remain unchanged;</w:t>
      </w:r>
      <w:r w:rsidR="008A42F0">
        <w:t xml:space="preserve"> and</w:t>
      </w:r>
    </w:p>
    <w:p w:rsidR="00705D40" w:rsidRDefault="008A6C72" w:rsidP="002F11B3">
      <w:pPr>
        <w:pStyle w:val="ListParagraph"/>
        <w:numPr>
          <w:ilvl w:val="1"/>
          <w:numId w:val="2"/>
        </w:numPr>
      </w:pPr>
      <w:r>
        <w:t>T</w:t>
      </w:r>
      <w:r w:rsidR="00705D40">
        <w:t>he potential for</w:t>
      </w:r>
      <w:r w:rsidR="00891B82" w:rsidRPr="00891B82">
        <w:t xml:space="preserve"> harm to staff, patients, and the organisation </w:t>
      </w:r>
      <w:r w:rsidR="00705D40">
        <w:t>should the incident occur again.</w:t>
      </w:r>
    </w:p>
    <w:p w:rsidR="00705D40" w:rsidRPr="009C1A45" w:rsidRDefault="00705D40" w:rsidP="003A0E06">
      <w:pPr>
        <w:rPr>
          <w:sz w:val="6"/>
          <w:szCs w:val="6"/>
        </w:rPr>
      </w:pPr>
    </w:p>
    <w:p w:rsidR="00891B82" w:rsidRDefault="00891B82" w:rsidP="003A0E06">
      <w:r w:rsidRPr="00891B82">
        <w:t>This does not mean that every ‘near miss’ should be reported as a serious incident but</w:t>
      </w:r>
      <w:r w:rsidR="008A42F0">
        <w:t>,</w:t>
      </w:r>
      <w:r w:rsidRPr="00891B82">
        <w:t xml:space="preserve"> where there is a significant existing risk of </w:t>
      </w:r>
      <w:r w:rsidR="008A42F0">
        <w:t>system failure</w:t>
      </w:r>
      <w:r w:rsidRPr="00891B82">
        <w:t xml:space="preserve"> </w:t>
      </w:r>
      <w:r w:rsidR="0067373A" w:rsidRPr="00891B82">
        <w:t>and serious</w:t>
      </w:r>
      <w:r w:rsidR="0067373A">
        <w:t xml:space="preserve"> harm</w:t>
      </w:r>
      <w:r w:rsidRPr="00891B82">
        <w:t>, the serious incident process should be used to understand and mitigate</w:t>
      </w:r>
      <w:r w:rsidR="008A42F0">
        <w:t xml:space="preserve"> that</w:t>
      </w:r>
      <w:r w:rsidRPr="00891B82">
        <w:t xml:space="preserve"> risk</w:t>
      </w:r>
      <w:r w:rsidR="00705D40">
        <w:t>.</w:t>
      </w:r>
    </w:p>
    <w:p w:rsidR="006B430B" w:rsidRDefault="006B430B" w:rsidP="003A0E06"/>
    <w:p w:rsidR="006B430B" w:rsidRPr="006B430B" w:rsidRDefault="006B430B" w:rsidP="0072371B">
      <w:pPr>
        <w:pStyle w:val="Heading2"/>
        <w:numPr>
          <w:ilvl w:val="1"/>
          <w:numId w:val="24"/>
        </w:numPr>
      </w:pPr>
      <w:bookmarkStart w:id="17" w:name="_Toc414568029"/>
      <w:r w:rsidRPr="006B430B">
        <w:t>How are serious incidents identified?</w:t>
      </w:r>
      <w:bookmarkEnd w:id="17"/>
    </w:p>
    <w:p w:rsidR="006B430B" w:rsidRPr="006B430B" w:rsidRDefault="006B430B" w:rsidP="006B430B">
      <w:r w:rsidRPr="006B430B">
        <w:t>As described above, serious incidents are often triggered by events leading to serious outcomes for patients, staff and/or the organisation involved. They may be identified through various routes including, but not limited to, the following:</w:t>
      </w:r>
    </w:p>
    <w:p w:rsidR="006B430B" w:rsidRPr="009C1A45" w:rsidRDefault="006B430B" w:rsidP="006B430B">
      <w:pPr>
        <w:rPr>
          <w:sz w:val="6"/>
          <w:szCs w:val="6"/>
        </w:rPr>
      </w:pPr>
    </w:p>
    <w:p w:rsidR="006B430B" w:rsidRPr="006B430B" w:rsidRDefault="006B430B" w:rsidP="006B430B">
      <w:pPr>
        <w:numPr>
          <w:ilvl w:val="0"/>
          <w:numId w:val="5"/>
        </w:numPr>
      </w:pPr>
      <w:r w:rsidRPr="006B430B">
        <w:t>Incidents identified during the provision of healthcare by a provider e.g. patient safety incidents or serious/distressing/catastrophic outcomes for those involved</w:t>
      </w:r>
      <w:r w:rsidR="006F7C64">
        <w:t>;</w:t>
      </w:r>
      <w:r w:rsidRPr="006B430B">
        <w:t xml:space="preserve"> </w:t>
      </w:r>
    </w:p>
    <w:p w:rsidR="006B430B" w:rsidRPr="006B430B" w:rsidRDefault="006B430B" w:rsidP="006B430B">
      <w:pPr>
        <w:numPr>
          <w:ilvl w:val="0"/>
          <w:numId w:val="5"/>
        </w:numPr>
      </w:pPr>
      <w:r w:rsidRPr="006B430B">
        <w:t>Allegations made against</w:t>
      </w:r>
      <w:r w:rsidR="006532A1">
        <w:t xml:space="preserve"> or concerns expressed about </w:t>
      </w:r>
      <w:r w:rsidRPr="006B430B">
        <w:t xml:space="preserve"> a provider by a</w:t>
      </w:r>
      <w:r w:rsidR="006532A1">
        <w:t xml:space="preserve"> patient or</w:t>
      </w:r>
      <w:r w:rsidRPr="006B430B">
        <w:t xml:space="preserve"> third party</w:t>
      </w:r>
      <w:r w:rsidR="006F7C64">
        <w:t>;</w:t>
      </w:r>
    </w:p>
    <w:p w:rsidR="006B430B" w:rsidRPr="006B430B" w:rsidRDefault="006B430B" w:rsidP="006B430B">
      <w:pPr>
        <w:numPr>
          <w:ilvl w:val="0"/>
          <w:numId w:val="5"/>
        </w:numPr>
      </w:pPr>
      <w:r w:rsidRPr="006B430B">
        <w:t>Initiation of other investigations for example: Serious Case Reviews (SCRs), Safeguarding Adult Review</w:t>
      </w:r>
      <w:r w:rsidR="006F7C64">
        <w:t>s</w:t>
      </w:r>
      <w:r w:rsidRPr="006B430B">
        <w:t xml:space="preserve"> (SARs), Safeguarding Adults Enquir</w:t>
      </w:r>
      <w:r w:rsidR="006F7C64">
        <w:t>es</w:t>
      </w:r>
      <w:r w:rsidRPr="006B430B">
        <w:t xml:space="preserve"> (Section 42 Care Act) Domestic Homicide Review</w:t>
      </w:r>
      <w:r w:rsidR="006F7C64">
        <w:t>s</w:t>
      </w:r>
      <w:r w:rsidRPr="006B430B">
        <w:t xml:space="preserve"> (DHRs) and Death in Custody Investigations (led by the Prison Probation Ombudsman) NB: whilst such circumstances may identify serious incidents in the provision of healthcare this is not always the case and SIs should only be declared where the definition above is fulfilled (see </w:t>
      </w:r>
      <w:r w:rsidR="006F7C64">
        <w:t>P</w:t>
      </w:r>
      <w:r w:rsidRPr="006B430B">
        <w:t xml:space="preserve">art </w:t>
      </w:r>
      <w:r w:rsidR="006F7C64">
        <w:t>O</w:t>
      </w:r>
      <w:r w:rsidRPr="006B430B">
        <w:t>ne; section 1</w:t>
      </w:r>
      <w:r w:rsidR="006F7C64">
        <w:t xml:space="preserve"> and</w:t>
      </w:r>
      <w:r w:rsidRPr="006B430B">
        <w:t xml:space="preserve"> 1.1. for further details)</w:t>
      </w:r>
      <w:r w:rsidR="006F7C64">
        <w:t>;</w:t>
      </w:r>
    </w:p>
    <w:p w:rsidR="006B430B" w:rsidRPr="006B430B" w:rsidRDefault="006B430B" w:rsidP="006B430B">
      <w:pPr>
        <w:numPr>
          <w:ilvl w:val="0"/>
          <w:numId w:val="5"/>
        </w:numPr>
      </w:pPr>
      <w:r w:rsidRPr="006B430B">
        <w:t>Information shared at Quality Surveillance Group meetings</w:t>
      </w:r>
      <w:r w:rsidR="006F7C64">
        <w:t>;</w:t>
      </w:r>
    </w:p>
    <w:p w:rsidR="006B430B" w:rsidRPr="006B430B" w:rsidRDefault="006B430B" w:rsidP="006B430B">
      <w:pPr>
        <w:numPr>
          <w:ilvl w:val="0"/>
          <w:numId w:val="5"/>
        </w:numPr>
      </w:pPr>
      <w:r w:rsidRPr="006B430B">
        <w:t>Complaints</w:t>
      </w:r>
      <w:r w:rsidR="006F7C64">
        <w:t>;</w:t>
      </w:r>
    </w:p>
    <w:p w:rsidR="006B430B" w:rsidRPr="006B430B" w:rsidRDefault="006B430B" w:rsidP="006B430B">
      <w:pPr>
        <w:numPr>
          <w:ilvl w:val="0"/>
          <w:numId w:val="5"/>
        </w:numPr>
      </w:pPr>
      <w:r w:rsidRPr="006B430B">
        <w:t>Whistle blowing</w:t>
      </w:r>
      <w:r w:rsidR="006F7C64">
        <w:t>;</w:t>
      </w:r>
    </w:p>
    <w:p w:rsidR="006B430B" w:rsidRPr="006B430B" w:rsidRDefault="006B430B" w:rsidP="006B430B">
      <w:pPr>
        <w:numPr>
          <w:ilvl w:val="0"/>
          <w:numId w:val="4"/>
        </w:numPr>
      </w:pPr>
      <w:r w:rsidRPr="006B430B">
        <w:t>Prevention of Future Death Reports issued by the Coroner</w:t>
      </w:r>
      <w:r w:rsidR="006F7C64">
        <w:t>.</w:t>
      </w:r>
      <w:r w:rsidRPr="006B430B">
        <w:rPr>
          <w:vertAlign w:val="superscript"/>
        </w:rPr>
        <w:footnoteReference w:id="17"/>
      </w:r>
    </w:p>
    <w:p w:rsidR="006B430B" w:rsidRPr="006B430B" w:rsidRDefault="006B430B" w:rsidP="006B430B">
      <w:r w:rsidRPr="006B430B">
        <w:t xml:space="preserve"> </w:t>
      </w:r>
    </w:p>
    <w:p w:rsidR="006B430B" w:rsidRPr="006B430B" w:rsidRDefault="006B430B" w:rsidP="006B430B">
      <w:r w:rsidRPr="006B430B">
        <w:lastRenderedPageBreak/>
        <w:t xml:space="preserve">If an incident is identified by an organisation that is not involved in the delivery of care in which the incident occurred, then that organisation must take action to ensure that the relevant provider(s) and commissioner(s) are informed to ensure the incident is reported, investigated and learned from to prevent future risk of reoccurrence. Where the identifying organisation is another provider </w:t>
      </w:r>
      <w:r w:rsidR="006F7C64">
        <w:t>it</w:t>
      </w:r>
      <w:r w:rsidR="006F7C64" w:rsidRPr="006B430B">
        <w:t xml:space="preserve"> </w:t>
      </w:r>
      <w:r w:rsidRPr="006B430B">
        <w:t xml:space="preserve">must raise concerns with </w:t>
      </w:r>
      <w:r w:rsidR="006F7C64">
        <w:t>its</w:t>
      </w:r>
      <w:r w:rsidR="006F7C64" w:rsidRPr="006B430B">
        <w:t xml:space="preserve"> </w:t>
      </w:r>
      <w:r w:rsidRPr="006B430B">
        <w:t>commissioner</w:t>
      </w:r>
      <w:r w:rsidR="006F7C64">
        <w:t>,</w:t>
      </w:r>
      <w:r w:rsidRPr="006B430B">
        <w:t xml:space="preserve"> who can assist in the necessary correspondence between other organisations as required. </w:t>
      </w:r>
    </w:p>
    <w:p w:rsidR="006B430B" w:rsidRPr="006B430B" w:rsidRDefault="006B430B" w:rsidP="006B430B"/>
    <w:p w:rsidR="00705D40" w:rsidRDefault="006B430B" w:rsidP="006B430B">
      <w:r w:rsidRPr="006B430B">
        <w:t xml:space="preserve">Serious incidents identified (or alleged) through the complaints route, or any other mechanism, must be treated in line with the principles in this </w:t>
      </w:r>
      <w:r w:rsidR="005A7486">
        <w:t>Framework</w:t>
      </w:r>
      <w:r w:rsidRPr="006B430B">
        <w:t xml:space="preserve"> to ensure that it is investigated and responded to appropriately. If the investigation reveals that there were no weaknesses/problems within health’s intervention which either caused or contributed to the incident in question, the incident can be downgraded.</w:t>
      </w:r>
    </w:p>
    <w:p w:rsidR="006B430B" w:rsidRDefault="006B430B" w:rsidP="006B430B"/>
    <w:p w:rsidR="00705D40" w:rsidRDefault="00705D40" w:rsidP="0072371B">
      <w:pPr>
        <w:pStyle w:val="Heading2"/>
        <w:numPr>
          <w:ilvl w:val="1"/>
          <w:numId w:val="24"/>
        </w:numPr>
      </w:pPr>
      <w:bookmarkStart w:id="18" w:name="_Toc414568030"/>
      <w:r>
        <w:t>Risk management and prioritisation</w:t>
      </w:r>
      <w:bookmarkEnd w:id="18"/>
      <w:r>
        <w:t xml:space="preserve"> </w:t>
      </w:r>
    </w:p>
    <w:p w:rsidR="00055F46" w:rsidRDefault="00616AB3" w:rsidP="003A0E06">
      <w:r>
        <w:t>Managing, investigating and learning from serious incidents in healthcare require</w:t>
      </w:r>
      <w:r w:rsidR="007F2B08">
        <w:t>s</w:t>
      </w:r>
      <w:r w:rsidR="005970DE">
        <w:t xml:space="preserve"> a</w:t>
      </w:r>
      <w:r>
        <w:t xml:space="preserve"> considerable </w:t>
      </w:r>
      <w:r w:rsidR="005970DE">
        <w:t xml:space="preserve">amount of </w:t>
      </w:r>
      <w:r>
        <w:t xml:space="preserve">time and resource. </w:t>
      </w:r>
      <w:r w:rsidR="009B4A82">
        <w:t>Care must be taken to ensure there is an appropriate balance between the</w:t>
      </w:r>
      <w:r>
        <w:t xml:space="preserve"> resource</w:t>
      </w:r>
      <w:r w:rsidR="005970DE">
        <w:t xml:space="preserve">s </w:t>
      </w:r>
      <w:r w:rsidR="00BB2A8D">
        <w:t xml:space="preserve">applied to the reporting and investigation of </w:t>
      </w:r>
      <w:r w:rsidR="00055F46">
        <w:t xml:space="preserve">individual </w:t>
      </w:r>
      <w:r w:rsidR="00BB2A8D">
        <w:t>incidents</w:t>
      </w:r>
      <w:r w:rsidR="009B4A82">
        <w:t xml:space="preserve"> and the resources applied to </w:t>
      </w:r>
      <w:r w:rsidR="007F2B08">
        <w:t xml:space="preserve">implementing and embedding learning to prevent recurrence. </w:t>
      </w:r>
      <w:r w:rsidR="009B4A82">
        <w:t>The former is of little use if the latter is not given sufficient time and attention.</w:t>
      </w:r>
    </w:p>
    <w:p w:rsidR="00055F46" w:rsidRDefault="00055F46" w:rsidP="003A0E06"/>
    <w:p w:rsidR="00DB216B" w:rsidRDefault="00DB216B" w:rsidP="0072371B">
      <w:pPr>
        <w:pStyle w:val="Heading3"/>
        <w:numPr>
          <w:ilvl w:val="2"/>
          <w:numId w:val="24"/>
        </w:numPr>
      </w:pPr>
      <w:r>
        <w:t xml:space="preserve"> </w:t>
      </w:r>
      <w:bookmarkStart w:id="19" w:name="_Toc414568031"/>
      <w:r>
        <w:t>Prioritising</w:t>
      </w:r>
      <w:bookmarkEnd w:id="19"/>
      <w:r>
        <w:t xml:space="preserve"> </w:t>
      </w:r>
    </w:p>
    <w:p w:rsidR="00055F46" w:rsidRDefault="00055F46" w:rsidP="003A0E06">
      <w:r>
        <w:t>Organisation</w:t>
      </w:r>
      <w:r w:rsidR="00DA69AD">
        <w:t>s</w:t>
      </w:r>
      <w:r>
        <w:t xml:space="preserve"> </w:t>
      </w:r>
      <w:r w:rsidR="00DA69AD">
        <w:t>should</w:t>
      </w:r>
      <w:r>
        <w:t xml:space="preserve"> have processes in place to identify incidents that indicate the most significant opportunities for learning and prevention of </w:t>
      </w:r>
      <w:r w:rsidR="009B4A82">
        <w:t xml:space="preserve">future </w:t>
      </w:r>
      <w:r>
        <w:t>harm.</w:t>
      </w:r>
      <w:r w:rsidR="009A0DA6">
        <w:t xml:space="preserve"> This is not achieved by having prescri</w:t>
      </w:r>
      <w:r w:rsidR="009B4A82">
        <w:t xml:space="preserve">bed lists </w:t>
      </w:r>
      <w:r w:rsidR="009A0DA6">
        <w:t xml:space="preserve">of incidents that </w:t>
      </w:r>
      <w:r w:rsidR="009B4A82">
        <w:t>cou</w:t>
      </w:r>
      <w:r w:rsidR="00B23031">
        <w:t>nt</w:t>
      </w:r>
      <w:r w:rsidR="009A0DA6">
        <w:t xml:space="preserve"> as serious incident</w:t>
      </w:r>
      <w:r w:rsidR="005E1C2F">
        <w:t>s</w:t>
      </w:r>
      <w:r w:rsidR="00F133B2">
        <w:t>.</w:t>
      </w:r>
      <w:r w:rsidR="009B4A82">
        <w:t xml:space="preserve"> For example, b</w:t>
      </w:r>
      <w:r w:rsidR="00F133B2">
        <w:t>lanket reporting rules</w:t>
      </w:r>
      <w:r w:rsidR="009B4A82">
        <w:t xml:space="preserve"> that require</w:t>
      </w:r>
      <w:r w:rsidR="00F133B2">
        <w:t xml:space="preserve"> every grade 3 and 4 pressure ulcer, every fall or every health care acquired infection</w:t>
      </w:r>
      <w:r w:rsidR="009B4A82">
        <w:t xml:space="preserve"> to be treated as serious incidents</w:t>
      </w:r>
      <w:r w:rsidR="00F133B2">
        <w:t xml:space="preserve"> can</w:t>
      </w:r>
      <w:r w:rsidR="00141472">
        <w:t xml:space="preserve"> lead to debilitating</w:t>
      </w:r>
      <w:r w:rsidR="00A21F70">
        <w:t xml:space="preserve"> </w:t>
      </w:r>
      <w:r w:rsidR="00141472">
        <w:t>processes</w:t>
      </w:r>
      <w:r w:rsidR="00A21F70">
        <w:t xml:space="preserve"> which do not effectively </w:t>
      </w:r>
      <w:r w:rsidR="009B4A82">
        <w:t>support</w:t>
      </w:r>
      <w:r w:rsidR="00A21F70">
        <w:t xml:space="preserve"> learning</w:t>
      </w:r>
      <w:r w:rsidR="00141472">
        <w:t xml:space="preserve">. </w:t>
      </w:r>
    </w:p>
    <w:p w:rsidR="00055F46" w:rsidRDefault="00055F46" w:rsidP="003A0E06"/>
    <w:p w:rsidR="00DB216B" w:rsidRDefault="00DB216B" w:rsidP="0072371B">
      <w:pPr>
        <w:pStyle w:val="Heading3"/>
        <w:numPr>
          <w:ilvl w:val="2"/>
          <w:numId w:val="24"/>
        </w:numPr>
      </w:pPr>
      <w:bookmarkStart w:id="20" w:name="_Toc414568032"/>
      <w:r>
        <w:t>Opportunities for investing time in learning</w:t>
      </w:r>
      <w:bookmarkEnd w:id="20"/>
      <w:r>
        <w:t xml:space="preserve">  </w:t>
      </w:r>
    </w:p>
    <w:p w:rsidR="00F91BF2" w:rsidRDefault="00F91BF2" w:rsidP="003A0E06">
      <w:r>
        <w:t>The multi-incident investigation</w:t>
      </w:r>
      <w:r w:rsidR="0067373A">
        <w:t xml:space="preserve"> root cause analysis</w:t>
      </w:r>
      <w:r>
        <w:t xml:space="preserve"> (RCA) </w:t>
      </w:r>
      <w:r w:rsidRPr="00F91BF2">
        <w:t>model</w:t>
      </w:r>
      <w:r>
        <w:rPr>
          <w:rStyle w:val="FootnoteReference"/>
        </w:rPr>
        <w:footnoteReference w:id="18"/>
      </w:r>
      <w:r w:rsidRPr="00F91BF2">
        <w:t xml:space="preserve"> provides a useful tool for thoroughly investigating reoccurring problems</w:t>
      </w:r>
      <w:r>
        <w:t xml:space="preserve"> of a similar nature</w:t>
      </w:r>
      <w:r w:rsidRPr="00F91BF2">
        <w:t xml:space="preserve"> </w:t>
      </w:r>
      <w:r>
        <w:t>(f</w:t>
      </w:r>
      <w:r w:rsidRPr="00F91BF2">
        <w:t>or example, a cluster of</w:t>
      </w:r>
      <w:r>
        <w:t xml:space="preserve"> </w:t>
      </w:r>
      <w:r w:rsidRPr="00F91BF2">
        <w:t>falls or pressure ulcers</w:t>
      </w:r>
      <w:r>
        <w:t xml:space="preserve"> in a similar setting or</w:t>
      </w:r>
      <w:r w:rsidR="00A21F70">
        <w:t xml:space="preserve"> amongst</w:t>
      </w:r>
      <w:r>
        <w:t xml:space="preserve"> similar groups of patient</w:t>
      </w:r>
      <w:r w:rsidR="00533328">
        <w:t>s</w:t>
      </w:r>
      <w:r>
        <w:t>)</w:t>
      </w:r>
      <w:r w:rsidR="00803EBA">
        <w:t xml:space="preserve"> </w:t>
      </w:r>
      <w:r>
        <w:t>in order to identify</w:t>
      </w:r>
      <w:r w:rsidRPr="00F91BF2">
        <w:t xml:space="preserve"> the</w:t>
      </w:r>
      <w:r>
        <w:t xml:space="preserve"> common problems</w:t>
      </w:r>
      <w:r w:rsidR="00803EBA">
        <w:t xml:space="preserve"> (the what</w:t>
      </w:r>
      <w:r w:rsidR="006F7C64">
        <w:t>?</w:t>
      </w:r>
      <w:r w:rsidR="00803EBA">
        <w:t>)</w:t>
      </w:r>
      <w:r>
        <w:t>, contributing factors</w:t>
      </w:r>
      <w:r w:rsidR="00803EBA">
        <w:t xml:space="preserve"> (the how</w:t>
      </w:r>
      <w:r w:rsidR="006F7C64">
        <w:t>?</w:t>
      </w:r>
      <w:r w:rsidR="00803EBA">
        <w:t>)</w:t>
      </w:r>
      <w:r>
        <w:t xml:space="preserve"> and root causes</w:t>
      </w:r>
      <w:r w:rsidR="00803EBA">
        <w:t xml:space="preserve"> (the why</w:t>
      </w:r>
      <w:r w:rsidR="006F7C64">
        <w:t>?</w:t>
      </w:r>
      <w:r w:rsidR="00803EBA">
        <w:t>)</w:t>
      </w:r>
      <w:r>
        <w:t>. This allow</w:t>
      </w:r>
      <w:r w:rsidR="00803EBA">
        <w:t>s</w:t>
      </w:r>
      <w:r>
        <w:t xml:space="preserve"> one comprehensive action plan to </w:t>
      </w:r>
      <w:r w:rsidR="00803EBA">
        <w:t>be developed and monitored and, if used effectively, moves</w:t>
      </w:r>
      <w:r>
        <w:t xml:space="preserve"> </w:t>
      </w:r>
      <w:r w:rsidR="00803EBA">
        <w:t xml:space="preserve">the focus from repeated investigation to learning and improvement. </w:t>
      </w:r>
    </w:p>
    <w:p w:rsidR="00F91BF2" w:rsidRDefault="00F91BF2" w:rsidP="003A0E06"/>
    <w:p w:rsidR="00DA69AD" w:rsidRDefault="00273C80" w:rsidP="003A0E06">
      <w:r>
        <w:t>Where an organisation has</w:t>
      </w:r>
      <w:r w:rsidR="00141472">
        <w:t xml:space="preserve"> iden</w:t>
      </w:r>
      <w:r w:rsidR="00803EBA">
        <w:t>tified a wide-spread risk and has</w:t>
      </w:r>
      <w:r>
        <w:t xml:space="preserve"> </w:t>
      </w:r>
      <w:r w:rsidR="00803EBA">
        <w:t>undertaken (or is undertaking)</w:t>
      </w:r>
      <w:r>
        <w:t xml:space="preserve"> a multi-incident investigation</w:t>
      </w:r>
      <w:r w:rsidR="00DA69AD">
        <w:t xml:space="preserve"> </w:t>
      </w:r>
      <w:r>
        <w:t>and can show</w:t>
      </w:r>
      <w:r w:rsidR="00803EBA">
        <w:t xml:space="preserve"> </w:t>
      </w:r>
      <w:r>
        <w:t>evidence of this</w:t>
      </w:r>
      <w:r w:rsidR="00803EBA">
        <w:t xml:space="preserve"> and the improvement</w:t>
      </w:r>
      <w:r w:rsidR="00A21F70">
        <w:t>s</w:t>
      </w:r>
      <w:r w:rsidR="00803EBA">
        <w:t xml:space="preserve"> being made</w:t>
      </w:r>
      <w:r>
        <w:t>,</w:t>
      </w:r>
      <w:r w:rsidR="00803EBA">
        <w:t xml:space="preserve"> then</w:t>
      </w:r>
      <w:r>
        <w:t xml:space="preserve"> </w:t>
      </w:r>
      <w:r w:rsidR="00A21F70">
        <w:t xml:space="preserve">this </w:t>
      </w:r>
      <w:r w:rsidR="002607BB">
        <w:t>can</w:t>
      </w:r>
      <w:r w:rsidR="00A21F70">
        <w:t xml:space="preserve"> be used as a way of managing and responding to other similar incidents</w:t>
      </w:r>
      <w:r w:rsidR="00F370C4">
        <w:t xml:space="preserve"> within an appropriate timeframe</w:t>
      </w:r>
      <w:r w:rsidR="00A21F70">
        <w:t xml:space="preserve">. This means that if </w:t>
      </w:r>
      <w:r w:rsidR="00803EBA">
        <w:t>another similar incident occurs before</w:t>
      </w:r>
      <w:r w:rsidR="00F219C7">
        <w:t xml:space="preserve"> the agreed target date for</w:t>
      </w:r>
      <w:r w:rsidR="00A21F70">
        <w:t xml:space="preserve"> the</w:t>
      </w:r>
      <w:r w:rsidR="00F219C7">
        <w:t xml:space="preserve"> implementing</w:t>
      </w:r>
      <w:r w:rsidR="006F7C64">
        <w:t xml:space="preserve"> of</w:t>
      </w:r>
      <w:r w:rsidR="00F219C7">
        <w:t xml:space="preserve"> preventative actions</w:t>
      </w:r>
      <w:r w:rsidR="00F370C4">
        <w:t>/improvement plans</w:t>
      </w:r>
      <w:r w:rsidR="00F219C7">
        <w:t>,</w:t>
      </w:r>
      <w:r w:rsidR="00A21F70">
        <w:t xml:space="preserve"> a separate investigation may not be required. </w:t>
      </w:r>
      <w:r w:rsidR="00F370C4">
        <w:t>Instead</w:t>
      </w:r>
      <w:r w:rsidR="00B67259">
        <w:t xml:space="preserve"> consideration should be given to </w:t>
      </w:r>
      <w:r w:rsidR="00F219C7">
        <w:t xml:space="preserve">whether </w:t>
      </w:r>
      <w:r w:rsidR="00F370C4">
        <w:t>resources could</w:t>
      </w:r>
      <w:r w:rsidR="00F219C7">
        <w:t xml:space="preserve"> be</w:t>
      </w:r>
      <w:r w:rsidR="00B67259">
        <w:t xml:space="preserve"> better</w:t>
      </w:r>
      <w:r w:rsidR="00F370C4">
        <w:t xml:space="preserve"> used</w:t>
      </w:r>
      <w:r w:rsidR="00F219C7">
        <w:t xml:space="preserve"> on </w:t>
      </w:r>
      <w:r w:rsidR="00F219C7">
        <w:lastRenderedPageBreak/>
        <w:t>the delivery of improvement work</w:t>
      </w:r>
      <w:r w:rsidR="002607BB">
        <w:t xml:space="preserve"> rather than initiating another investigation</w:t>
      </w:r>
      <w:r>
        <w:t>.</w:t>
      </w:r>
      <w:r w:rsidR="00DB216B">
        <w:t xml:space="preserve"> </w:t>
      </w:r>
      <w:r w:rsidR="00F219C7">
        <w:t>T</w:t>
      </w:r>
      <w:r w:rsidR="00DB216B">
        <w:t>hi</w:t>
      </w:r>
      <w:r w:rsidR="00F219C7">
        <w:t>s would need careful assessment, engagement with those affected</w:t>
      </w:r>
      <w:r w:rsidR="00F219C7">
        <w:rPr>
          <w:rStyle w:val="FootnoteReference"/>
        </w:rPr>
        <w:footnoteReference w:id="19"/>
      </w:r>
      <w:r w:rsidR="00F219C7" w:rsidRPr="00F219C7">
        <w:t xml:space="preserve"> and agreement on a case</w:t>
      </w:r>
      <w:r w:rsidR="006F7C64">
        <w:t>-</w:t>
      </w:r>
      <w:r w:rsidR="00F219C7" w:rsidRPr="00F219C7">
        <w:t>by</w:t>
      </w:r>
      <w:r w:rsidR="006F7C64">
        <w:t>-</w:t>
      </w:r>
      <w:r w:rsidR="00F219C7" w:rsidRPr="00F219C7">
        <w:t>case basis</w:t>
      </w:r>
      <w:r w:rsidR="00F219C7">
        <w:t xml:space="preserve">. </w:t>
      </w:r>
    </w:p>
    <w:p w:rsidR="00803EBA" w:rsidRDefault="00803EBA" w:rsidP="003A0E06"/>
    <w:p w:rsidR="00DA69AD" w:rsidRDefault="009A0DA6" w:rsidP="009A0DA6">
      <w:pPr>
        <w:pStyle w:val="Heading3"/>
      </w:pPr>
      <w:bookmarkStart w:id="21" w:name="_Toc414568033"/>
      <w:r>
        <w:t>1.</w:t>
      </w:r>
      <w:r w:rsidR="006F7C64">
        <w:t>4</w:t>
      </w:r>
      <w:r>
        <w:t>.3. Prevalence</w:t>
      </w:r>
      <w:bookmarkEnd w:id="21"/>
    </w:p>
    <w:p w:rsidR="007F2B08" w:rsidRDefault="00DA69AD" w:rsidP="003A0E06">
      <w:r>
        <w:t xml:space="preserve">It is acknowledged that prevalence is an important part </w:t>
      </w:r>
      <w:r w:rsidR="00DB216B">
        <w:t>of risk</w:t>
      </w:r>
      <w:r w:rsidR="009A0DA6">
        <w:t xml:space="preserve"> and safety</w:t>
      </w:r>
      <w:r w:rsidR="00DB216B">
        <w:t xml:space="preserve"> management and</w:t>
      </w:r>
      <w:r>
        <w:t xml:space="preserve"> </w:t>
      </w:r>
      <w:r w:rsidR="009A0DA6">
        <w:t>it is important that all incidents (including those that do not meet the threshold for a serious incident and/or where a full investigation is not required) are documented and recorded. A</w:t>
      </w:r>
      <w:r>
        <w:t xml:space="preserve">ll incidents </w:t>
      </w:r>
      <w:r w:rsidR="009D2480">
        <w:t>should</w:t>
      </w:r>
      <w:r w:rsidR="005E1C2F">
        <w:t xml:space="preserve"> </w:t>
      </w:r>
      <w:r>
        <w:t>be recorded on local risk management system</w:t>
      </w:r>
      <w:r w:rsidR="009A0DA6">
        <w:t>s</w:t>
      </w:r>
      <w:r w:rsidR="00F370C4">
        <w:t xml:space="preserve"> (LRMS)</w:t>
      </w:r>
      <w:r w:rsidR="009A0DA6">
        <w:t xml:space="preserve"> and</w:t>
      </w:r>
      <w:r w:rsidR="002607BB">
        <w:t>, where the incident is a patient safety incident</w:t>
      </w:r>
      <w:r w:rsidR="009D2480">
        <w:t xml:space="preserve"> (see glossary)</w:t>
      </w:r>
      <w:r w:rsidR="002607BB">
        <w:t xml:space="preserve"> it </w:t>
      </w:r>
      <w:r w:rsidR="009D2480">
        <w:t xml:space="preserve">should </w:t>
      </w:r>
      <w:r w:rsidR="002607BB">
        <w:t>be reported to</w:t>
      </w:r>
      <w:r w:rsidR="009A0DA6">
        <w:t xml:space="preserve"> </w:t>
      </w:r>
      <w:r w:rsidR="00903487">
        <w:t xml:space="preserve">the </w:t>
      </w:r>
      <w:r w:rsidR="009A0DA6">
        <w:t>National Reporting and Learning System</w:t>
      </w:r>
      <w:r w:rsidR="00903487">
        <w:rPr>
          <w:rStyle w:val="FootnoteReference"/>
        </w:rPr>
        <w:footnoteReference w:id="20"/>
      </w:r>
      <w:r w:rsidR="009A0DA6">
        <w:t xml:space="preserve"> </w:t>
      </w:r>
    </w:p>
    <w:p w:rsidR="005D06D1" w:rsidRDefault="003144E3" w:rsidP="00495B2E">
      <w:r>
        <w:t xml:space="preserve"> </w:t>
      </w:r>
    </w:p>
    <w:p w:rsidR="00137E8D" w:rsidRDefault="005A7486" w:rsidP="0072371B">
      <w:pPr>
        <w:pStyle w:val="Heading2"/>
        <w:numPr>
          <w:ilvl w:val="1"/>
          <w:numId w:val="24"/>
        </w:numPr>
      </w:pPr>
      <w:bookmarkStart w:id="22" w:name="_Toc414568034"/>
      <w:r>
        <w:t>Framework</w:t>
      </w:r>
      <w:r w:rsidR="007405CE">
        <w:t xml:space="preserve"> application and </w:t>
      </w:r>
      <w:r w:rsidR="009B46AB">
        <w:t>interfaces with other sectors</w:t>
      </w:r>
      <w:bookmarkEnd w:id="22"/>
      <w:r w:rsidR="009B46AB">
        <w:t xml:space="preserve">  </w:t>
      </w:r>
    </w:p>
    <w:p w:rsidR="006448CD" w:rsidRDefault="00137E8D" w:rsidP="00137E8D">
      <w:r>
        <w:t xml:space="preserve">This </w:t>
      </w:r>
      <w:r w:rsidR="005A7486">
        <w:t>Framework</w:t>
      </w:r>
      <w:r>
        <w:t xml:space="preserve"> applies to </w:t>
      </w:r>
      <w:r w:rsidR="00355842">
        <w:t xml:space="preserve">serious incidents which occur in </w:t>
      </w:r>
      <w:r>
        <w:t xml:space="preserve">all </w:t>
      </w:r>
      <w:r w:rsidR="00355842">
        <w:t>services providing NHS funded care</w:t>
      </w:r>
      <w:r w:rsidR="0089344D">
        <w:t>, including independent providers where NHS</w:t>
      </w:r>
      <w:r w:rsidR="00355842">
        <w:t xml:space="preserve"> funded</w:t>
      </w:r>
      <w:r w:rsidR="0089344D">
        <w:t xml:space="preserve"> services are delivered. </w:t>
      </w:r>
      <w:r w:rsidR="009B46AB">
        <w:t>T</w:t>
      </w:r>
      <w:r w:rsidR="0089344D">
        <w:t>he infrastructure within each healthcare setting will</w:t>
      </w:r>
      <w:r w:rsidR="009B46AB">
        <w:t xml:space="preserve"> largely</w:t>
      </w:r>
      <w:r w:rsidR="0089344D">
        <w:t xml:space="preserve"> determine how the </w:t>
      </w:r>
      <w:r w:rsidR="005A7486">
        <w:t>Framework</w:t>
      </w:r>
      <w:r w:rsidR="0089344D">
        <w:t xml:space="preserve"> is applied in practice.</w:t>
      </w:r>
      <w:r w:rsidR="004A18A5">
        <w:t xml:space="preserve"> </w:t>
      </w:r>
      <w:r w:rsidR="006F7C64">
        <w:t>I</w:t>
      </w:r>
      <w:r w:rsidR="0089344D">
        <w:t>t is acknowledge</w:t>
      </w:r>
      <w:r w:rsidR="00446170">
        <w:t>d</w:t>
      </w:r>
      <w:r w:rsidR="0089344D">
        <w:t xml:space="preserve"> that </w:t>
      </w:r>
      <w:r w:rsidR="002E02C0">
        <w:t xml:space="preserve">some providers, particularly </w:t>
      </w:r>
      <w:r w:rsidR="0089344D">
        <w:t>s</w:t>
      </w:r>
      <w:r>
        <w:t xml:space="preserve">mall </w:t>
      </w:r>
      <w:r w:rsidR="0089344D">
        <w:t>providers</w:t>
      </w:r>
      <w:r w:rsidR="002E02C0">
        <w:t>,</w:t>
      </w:r>
      <w:r w:rsidR="0089344D">
        <w:t xml:space="preserve"> may be less well </w:t>
      </w:r>
      <w:r w:rsidR="002E02C0">
        <w:t>equipped to</w:t>
      </w:r>
      <w:r w:rsidR="0089344D">
        <w:t xml:space="preserve"> manage serious incidents in line with the principles and processes outlined in this </w:t>
      </w:r>
      <w:r w:rsidR="005A7486">
        <w:t>Framework</w:t>
      </w:r>
      <w:r w:rsidR="002E02C0">
        <w:t>. Where this is the case commissioners and providers must work together to identify where there are gaps in resource</w:t>
      </w:r>
      <w:r w:rsidR="006F7C64">
        <w:t>s</w:t>
      </w:r>
      <w:r w:rsidR="002E02C0">
        <w:t>, capacity, accessibility and expertise. Arrangements for supporting provide</w:t>
      </w:r>
      <w:r w:rsidR="002860AA">
        <w:t>r</w:t>
      </w:r>
      <w:r w:rsidR="002E02C0">
        <w:t xml:space="preserve">s should be agreed on a local basis. Whilst commissioners should offer support where there is capacity to do so, providers are ultimately responsible for undertaking and managing investigations and consequently incur the cost for this process. This includes paying for independent </w:t>
      </w:r>
      <w:r w:rsidR="004A18A5">
        <w:t xml:space="preserve">investigations of the care the provider delivered and for undertaking </w:t>
      </w:r>
      <w:r w:rsidR="006F7C64">
        <w:t xml:space="preserve">its </w:t>
      </w:r>
      <w:r w:rsidR="004A18A5">
        <w:t>own internal investigations</w:t>
      </w:r>
      <w:r w:rsidR="002E02C0">
        <w:t xml:space="preserve">. </w:t>
      </w:r>
    </w:p>
    <w:p w:rsidR="0085210D" w:rsidRDefault="0085210D" w:rsidP="00137E8D"/>
    <w:p w:rsidR="00D46124" w:rsidRDefault="004A18A5" w:rsidP="00137E8D">
      <w:r>
        <w:t xml:space="preserve">The principles </w:t>
      </w:r>
      <w:r w:rsidR="00562D9B">
        <w:t xml:space="preserve">and processes outlined in this </w:t>
      </w:r>
      <w:r w:rsidR="005A7486">
        <w:t>Framework</w:t>
      </w:r>
      <w:r w:rsidR="00562D9B">
        <w:t xml:space="preserve"> </w:t>
      </w:r>
      <w:r w:rsidR="00B67259">
        <w:t>are relevant for the</w:t>
      </w:r>
      <w:r>
        <w:t xml:space="preserve"> maj</w:t>
      </w:r>
      <w:r w:rsidR="002860AA">
        <w:t xml:space="preserve">ority of serious incidents that </w:t>
      </w:r>
      <w:r>
        <w:t>occur in healthcare</w:t>
      </w:r>
      <w:r w:rsidR="00562D9B">
        <w:t>.</w:t>
      </w:r>
      <w:r w:rsidR="00355842">
        <w:t xml:space="preserve"> However</w:t>
      </w:r>
      <w:r w:rsidR="00562D9B">
        <w:t xml:space="preserve">, </w:t>
      </w:r>
      <w:r w:rsidR="00355842">
        <w:t xml:space="preserve">there </w:t>
      </w:r>
      <w:r w:rsidR="00562D9B">
        <w:t>are occasions</w:t>
      </w:r>
      <w:r w:rsidR="00D72E99">
        <w:t xml:space="preserve"> (outlined </w:t>
      </w:r>
      <w:r w:rsidR="002860AA">
        <w:t>below)</w:t>
      </w:r>
      <w:r w:rsidR="00562D9B">
        <w:t xml:space="preserve"> where the process</w:t>
      </w:r>
      <w:r w:rsidR="002860AA">
        <w:t>es</w:t>
      </w:r>
      <w:r w:rsidR="00562D9B">
        <w:t xml:space="preserve"> described in this </w:t>
      </w:r>
      <w:r w:rsidR="005A7486">
        <w:t>Framework</w:t>
      </w:r>
      <w:r w:rsidR="00562D9B">
        <w:t xml:space="preserve"> will coincide with other procedures.</w:t>
      </w:r>
      <w:r w:rsidR="00355842">
        <w:t xml:space="preserve"> In such circumstances</w:t>
      </w:r>
      <w:r w:rsidR="00B67259">
        <w:t>,</w:t>
      </w:r>
      <w:r w:rsidR="00355842">
        <w:t xml:space="preserve"> c</w:t>
      </w:r>
      <w:r w:rsidR="00562D9B" w:rsidRPr="00562D9B">
        <w:t>o</w:t>
      </w:r>
      <w:r w:rsidR="006F7C64">
        <w:t>-</w:t>
      </w:r>
      <w:r w:rsidR="00562D9B" w:rsidRPr="00562D9B">
        <w:t xml:space="preserve">operation and collaborative working between partner agencies is essential for </w:t>
      </w:r>
      <w:r w:rsidR="0085210D">
        <w:t xml:space="preserve">minimising </w:t>
      </w:r>
      <w:r w:rsidR="00562D9B" w:rsidRPr="00562D9B">
        <w:t xml:space="preserve">duplication, uncertainty and/or confusion </w:t>
      </w:r>
      <w:r w:rsidR="002860AA">
        <w:t>relating to the</w:t>
      </w:r>
      <w:r w:rsidR="00562D9B" w:rsidRPr="00562D9B">
        <w:t xml:space="preserve"> in</w:t>
      </w:r>
      <w:r w:rsidR="00562D9B">
        <w:t xml:space="preserve">vestigation </w:t>
      </w:r>
      <w:r w:rsidR="002860AA">
        <w:t>process</w:t>
      </w:r>
      <w:r w:rsidR="00562D9B">
        <w:t>.</w:t>
      </w:r>
      <w:r w:rsidR="002860AA">
        <w:t xml:space="preserve"> </w:t>
      </w:r>
      <w:r w:rsidR="00545551">
        <w:t>Ideally</w:t>
      </w:r>
      <w:r w:rsidR="006F7C64">
        <w:t>,</w:t>
      </w:r>
      <w:r w:rsidR="001B799D">
        <w:t xml:space="preserve"> </w:t>
      </w:r>
      <w:r w:rsidR="00F3460F">
        <w:t>only one investigation should be</w:t>
      </w:r>
      <w:r w:rsidR="001B799D">
        <w:t xml:space="preserve"> </w:t>
      </w:r>
      <w:r w:rsidR="00F3460F">
        <w:t>undertaken</w:t>
      </w:r>
      <w:r w:rsidR="001B799D">
        <w:t xml:space="preserve"> </w:t>
      </w:r>
      <w:r w:rsidR="00A74A4F">
        <w:t>(by a team comprising representati</w:t>
      </w:r>
      <w:r w:rsidR="00B67259">
        <w:t xml:space="preserve">ves of </w:t>
      </w:r>
      <w:r w:rsidR="00A74A4F">
        <w:t xml:space="preserve">relevant agencies) </w:t>
      </w:r>
      <w:r w:rsidR="001B799D">
        <w:t>to meet the needs/requirements of all parties. However, in practice this can be difficult to achieve. Investigations may have different aims</w:t>
      </w:r>
      <w:r w:rsidR="00545551">
        <w:t>/</w:t>
      </w:r>
      <w:r w:rsidR="001B799D">
        <w:t xml:space="preserve"> purposes and this may </w:t>
      </w:r>
      <w:r w:rsidR="009B46AB">
        <w:t xml:space="preserve">inhibit </w:t>
      </w:r>
      <w:r w:rsidR="00F3460F">
        <w:t>joint investigations</w:t>
      </w:r>
      <w:r w:rsidR="001B799D">
        <w:t xml:space="preserve">. </w:t>
      </w:r>
      <w:r w:rsidR="00F3460F">
        <w:t>Where this is the case efforts must be made to ensure duplication of effort is minimised</w:t>
      </w:r>
      <w:r w:rsidR="006F7C64">
        <w:t>.</w:t>
      </w:r>
      <w:r w:rsidR="00A74A4F">
        <w:rPr>
          <w:rStyle w:val="FootnoteReference"/>
        </w:rPr>
        <w:footnoteReference w:id="21"/>
      </w:r>
      <w:r w:rsidR="00F3460F">
        <w:t xml:space="preserve"> </w:t>
      </w:r>
    </w:p>
    <w:p w:rsidR="00D46124" w:rsidRDefault="00D46124" w:rsidP="00137E8D"/>
    <w:p w:rsidR="004314FE" w:rsidRDefault="004314FE" w:rsidP="00137E8D"/>
    <w:p w:rsidR="00562D9B" w:rsidRDefault="006E4FE5" w:rsidP="00137E8D">
      <w:r w:rsidRPr="006E4FE5">
        <w:t>Wherever possible</w:t>
      </w:r>
      <w:r w:rsidR="00B67259">
        <w:t>,</w:t>
      </w:r>
      <w:r w:rsidRPr="006E4FE5">
        <w:t xml:space="preserve"> serious incident investigations should continue alongside criminal proceedings but this should be considered in discussion with the police. In exceptional cases (i.e. following</w:t>
      </w:r>
      <w:r w:rsidR="006F7C64">
        <w:t xml:space="preserve"> a</w:t>
      </w:r>
      <w:r w:rsidRPr="006E4FE5">
        <w:t xml:space="preserve"> formal request by police, </w:t>
      </w:r>
      <w:r w:rsidR="006F7C64">
        <w:t>C</w:t>
      </w:r>
      <w:r w:rsidRPr="006E4FE5">
        <w:t>oroner or judge) the investigation may be put on hold and this should b</w:t>
      </w:r>
      <w:r>
        <w:t>e discussed with those involved.</w:t>
      </w:r>
      <w:r>
        <w:rPr>
          <w:rStyle w:val="FootnoteReference"/>
        </w:rPr>
        <w:footnoteReference w:id="22"/>
      </w:r>
    </w:p>
    <w:p w:rsidR="00562D9B" w:rsidRDefault="00562D9B" w:rsidP="00137E8D"/>
    <w:p w:rsidR="00562D9B" w:rsidRDefault="00562D9B" w:rsidP="0072371B">
      <w:pPr>
        <w:pStyle w:val="Heading3"/>
        <w:numPr>
          <w:ilvl w:val="2"/>
          <w:numId w:val="24"/>
        </w:numPr>
      </w:pPr>
      <w:bookmarkStart w:id="23" w:name="_Toc414568035"/>
      <w:r>
        <w:t>Deaths in Custody</w:t>
      </w:r>
      <w:r w:rsidR="006F7C64">
        <w:t>-</w:t>
      </w:r>
      <w:r>
        <w:t xml:space="preserve"> where health provision is delivered by the NHS</w:t>
      </w:r>
      <w:bookmarkEnd w:id="23"/>
    </w:p>
    <w:p w:rsidR="00562D9B" w:rsidRDefault="00107935" w:rsidP="00562D9B">
      <w:r>
        <w:t>People</w:t>
      </w:r>
      <w:r w:rsidR="00562D9B">
        <w:t xml:space="preserve"> in custody, including either those detained under the Mental Health Act </w:t>
      </w:r>
      <w:r w:rsidR="006675A9">
        <w:t>(</w:t>
      </w:r>
      <w:r w:rsidR="00AB6B3C">
        <w:t>1983</w:t>
      </w:r>
      <w:r w:rsidR="006675A9">
        <w:t>)</w:t>
      </w:r>
      <w:r w:rsidR="00AB6B3C">
        <w:t xml:space="preserve"> </w:t>
      </w:r>
      <w:r w:rsidR="00562D9B">
        <w:t>or those detained within the police and justice system, are owed a particular duty of care by relevant authorities. The obligation on the authorities to account for the treatment of an individual in custody is particularly stringent when that individual dies</w:t>
      </w:r>
      <w:r w:rsidR="000B7C1A">
        <w:rPr>
          <w:rStyle w:val="EndnoteReference"/>
        </w:rPr>
        <w:endnoteReference w:id="3"/>
      </w:r>
      <w:r w:rsidR="00562D9B">
        <w:t>.</w:t>
      </w:r>
    </w:p>
    <w:p w:rsidR="00562D9B" w:rsidRDefault="00562D9B" w:rsidP="00562D9B"/>
    <w:p w:rsidR="00562D9B" w:rsidRDefault="00562D9B" w:rsidP="00562D9B">
      <w:r>
        <w:t>In prison and police custody, any death will be referred</w:t>
      </w:r>
      <w:r w:rsidR="004314FE">
        <w:t xml:space="preserve"> (by the relevant organisation) </w:t>
      </w:r>
      <w:r>
        <w:t>to the Prison and Probation Ombudsman</w:t>
      </w:r>
      <w:r w:rsidR="00107935">
        <w:t xml:space="preserve"> (PPO)</w:t>
      </w:r>
      <w:r>
        <w:t xml:space="preserve"> or the Independent Police Complaints Commission</w:t>
      </w:r>
      <w:r w:rsidR="00107935">
        <w:t xml:space="preserve"> (IPCC)</w:t>
      </w:r>
      <w:r w:rsidR="004314FE">
        <w:t xml:space="preserve"> </w:t>
      </w:r>
      <w:r>
        <w:t xml:space="preserve">who are responsible for carrying </w:t>
      </w:r>
      <w:r w:rsidR="00181D9B">
        <w:t>out the</w:t>
      </w:r>
      <w:r w:rsidR="004314FE">
        <w:t xml:space="preserve"> </w:t>
      </w:r>
      <w:r>
        <w:t>relevant investigations. Healthcare providers must fully support these investigations where required to do so. The PPO has clear expectations in relation to health involvement in PPO investigations into death in custody.</w:t>
      </w:r>
      <w:r w:rsidR="00D72E99">
        <w:t xml:space="preserve"> Guidance published by the PPO</w:t>
      </w:r>
      <w:r w:rsidR="00D72E99">
        <w:rPr>
          <w:rStyle w:val="FootnoteReference"/>
        </w:rPr>
        <w:footnoteReference w:id="23"/>
      </w:r>
      <w:r w:rsidR="00D72E99">
        <w:t xml:space="preserve"> </w:t>
      </w:r>
      <w:r>
        <w:t xml:space="preserve">must be followed </w:t>
      </w:r>
      <w:r w:rsidR="00181D9B">
        <w:t xml:space="preserve">by those </w:t>
      </w:r>
      <w:r>
        <w:t>involved in the delivery</w:t>
      </w:r>
      <w:r w:rsidR="00181D9B">
        <w:t xml:space="preserve"> and commissioning</w:t>
      </w:r>
      <w:r>
        <w:t xml:space="preserve"> of NHS funded care within setting</w:t>
      </w:r>
      <w:r w:rsidR="00181D9B">
        <w:t>s</w:t>
      </w:r>
      <w:r>
        <w:t xml:space="preserve"> covered by the PPO. </w:t>
      </w:r>
    </w:p>
    <w:p w:rsidR="00181D9B" w:rsidRDefault="00181D9B" w:rsidP="00562D9B"/>
    <w:p w:rsidR="00562D9B" w:rsidRDefault="00562D9B" w:rsidP="00562D9B">
      <w:r>
        <w:t>In NHS mental health services, providers must ensure that any death of a patient detained under the Mental Health Act</w:t>
      </w:r>
      <w:r w:rsidR="006675A9">
        <w:t xml:space="preserve"> (1983)</w:t>
      </w:r>
      <w:r>
        <w:t xml:space="preserve"> is reported to the CQC without delay. </w:t>
      </w:r>
      <w:r w:rsidR="00181D9B">
        <w:t xml:space="preserve">However </w:t>
      </w:r>
      <w:r w:rsidR="008E4045">
        <w:t>p</w:t>
      </w:r>
      <w:r>
        <w:t xml:space="preserve">roviders </w:t>
      </w:r>
      <w:r w:rsidR="00181D9B">
        <w:t xml:space="preserve">are responsible for </w:t>
      </w:r>
      <w:r>
        <w:t>ensur</w:t>
      </w:r>
      <w:r w:rsidR="00181D9B">
        <w:t>ing</w:t>
      </w:r>
      <w:r>
        <w:t xml:space="preserve"> that there is an appropriate investigation into the death of </w:t>
      </w:r>
      <w:r w:rsidR="006F7C64">
        <w:t xml:space="preserve">a </w:t>
      </w:r>
      <w:r>
        <w:t>patient detained under t</w:t>
      </w:r>
      <w:r w:rsidR="00F038FB">
        <w:t>he Mental Health Act (</w:t>
      </w:r>
      <w:r w:rsidR="004B0A7F" w:rsidRPr="004B0A7F">
        <w:t>1983</w:t>
      </w:r>
      <w:r w:rsidR="00F038FB">
        <w:t xml:space="preserve">) (or </w:t>
      </w:r>
      <w:r>
        <w:t xml:space="preserve">where the Mental Capacity Act </w:t>
      </w:r>
      <w:r w:rsidR="00F038FB">
        <w:t>(</w:t>
      </w:r>
      <w:r w:rsidR="00D72E99">
        <w:t>2005</w:t>
      </w:r>
      <w:r w:rsidR="00F038FB">
        <w:t>)</w:t>
      </w:r>
      <w:r w:rsidR="00D72E99">
        <w:t xml:space="preserve"> applies</w:t>
      </w:r>
      <w:r>
        <w:t>).  In circumstances where the cause of death is unknown and/or where there is reason to believe the death may have been avoidable or unexpected i.e. not caused by the natural course of the patient’s illness or underlying medical condition</w:t>
      </w:r>
      <w:r w:rsidR="00F038FB">
        <w:t xml:space="preserve"> when managed in accordance with best practice</w:t>
      </w:r>
      <w:r>
        <w:t xml:space="preserve"> - including suicide and self-inflicted </w:t>
      </w:r>
      <w:r w:rsidR="00181D9B">
        <w:t xml:space="preserve">death (see </w:t>
      </w:r>
      <w:r w:rsidR="006F7C64">
        <w:t>Part O</w:t>
      </w:r>
      <w:r w:rsidR="00181D9B">
        <w:t xml:space="preserve">ne; section 1) </w:t>
      </w:r>
      <w:r>
        <w:t>- then the death must be reported to the provider’s commissioner(s) as a serious incident</w:t>
      </w:r>
      <w:r w:rsidR="00D90416">
        <w:t xml:space="preserve"> and investigated ap</w:t>
      </w:r>
      <w:r w:rsidR="00187E48">
        <w:t>propriately</w:t>
      </w:r>
      <w:r>
        <w:t xml:space="preserve">. Consideration </w:t>
      </w:r>
      <w:r w:rsidR="00607246">
        <w:t>should</w:t>
      </w:r>
      <w:r>
        <w:t xml:space="preserve"> be given to commissioning an independent inves</w:t>
      </w:r>
      <w:r w:rsidR="00107935">
        <w:t>tigation</w:t>
      </w:r>
      <w:r w:rsidR="00B474BB">
        <w:t xml:space="preserve"> </w:t>
      </w:r>
      <w:r w:rsidR="00107935">
        <w:t xml:space="preserve">as outlined in </w:t>
      </w:r>
      <w:r w:rsidR="006F7C64">
        <w:t>A</w:t>
      </w:r>
      <w:r w:rsidR="004043CA">
        <w:t>ppendix 3</w:t>
      </w:r>
      <w:r w:rsidR="00750B4A">
        <w:t xml:space="preserve">. </w:t>
      </w:r>
    </w:p>
    <w:p w:rsidR="00107935" w:rsidRDefault="00107935" w:rsidP="00562D9B"/>
    <w:p w:rsidR="00562D9B" w:rsidRDefault="00562D9B" w:rsidP="0072371B">
      <w:pPr>
        <w:pStyle w:val="Heading3"/>
        <w:numPr>
          <w:ilvl w:val="2"/>
          <w:numId w:val="24"/>
        </w:numPr>
      </w:pPr>
      <w:bookmarkStart w:id="24" w:name="_Toc414568036"/>
      <w:r>
        <w:t>Serious Case Reviews and Safeguarding Adult Reviews</w:t>
      </w:r>
      <w:bookmarkEnd w:id="24"/>
    </w:p>
    <w:p w:rsidR="00562D9B" w:rsidRDefault="00562D9B" w:rsidP="00562D9B">
      <w:r>
        <w:t xml:space="preserve">The Local Authority via the Local Safeguarding </w:t>
      </w:r>
      <w:r w:rsidR="00181D9B">
        <w:t xml:space="preserve">Children </w:t>
      </w:r>
      <w:r>
        <w:t xml:space="preserve">Board </w:t>
      </w:r>
      <w:r w:rsidR="00181D9B">
        <w:t xml:space="preserve">or Local Safeguarding Adult Board (LSCB, LSAB </w:t>
      </w:r>
      <w:r w:rsidR="00107935">
        <w:t>as applicable)</w:t>
      </w:r>
      <w:r w:rsidR="006F7C64">
        <w:t>,</w:t>
      </w:r>
      <w:r>
        <w:t xml:space="preserve"> has a statutory duty to investigate certain types of safeguarding</w:t>
      </w:r>
      <w:r w:rsidR="00181D9B">
        <w:t xml:space="preserve"> incidents/ concerns. In circumstance</w:t>
      </w:r>
      <w:r w:rsidR="00F038FB">
        <w:t>s</w:t>
      </w:r>
      <w:r w:rsidR="00D72E99">
        <w:t xml:space="preserve"> set out in</w:t>
      </w:r>
      <w:r w:rsidR="00BA5DE3" w:rsidRPr="00BA5DE3">
        <w:t xml:space="preserve"> </w:t>
      </w:r>
      <w:r w:rsidR="00BA5DE3" w:rsidRPr="00BA5DE3">
        <w:rPr>
          <w:i/>
        </w:rPr>
        <w:t>Working Together to Safeguard Children</w:t>
      </w:r>
      <w:r w:rsidR="00BA5DE3">
        <w:rPr>
          <w:rStyle w:val="FootnoteReference"/>
        </w:rPr>
        <w:footnoteReference w:id="24"/>
      </w:r>
      <w:r w:rsidR="00BA5DE3">
        <w:t xml:space="preserve"> (2013)</w:t>
      </w:r>
      <w:r w:rsidR="00181D9B">
        <w:t xml:space="preserve"> the LSCB will commission Serious Case Reviews</w:t>
      </w:r>
      <w:r w:rsidR="00934A0E">
        <w:t xml:space="preserve"> and i</w:t>
      </w:r>
      <w:r w:rsidR="00181D9B">
        <w:t>n circumstance</w:t>
      </w:r>
      <w:r w:rsidR="00F038FB">
        <w:t>s</w:t>
      </w:r>
      <w:r w:rsidR="00D72E99">
        <w:t xml:space="preserve"> set out </w:t>
      </w:r>
      <w:r w:rsidR="005E1C2F">
        <w:t xml:space="preserve">in </w:t>
      </w:r>
      <w:r w:rsidR="00BA5DE3">
        <w:t>guidance for adult safeguarding concerns</w:t>
      </w:r>
      <w:r w:rsidR="00BA5DE3">
        <w:rPr>
          <w:rStyle w:val="FootnoteReference"/>
        </w:rPr>
        <w:footnoteReference w:id="25"/>
      </w:r>
      <w:r w:rsidR="00D72E99">
        <w:t xml:space="preserve"> </w:t>
      </w:r>
      <w:r w:rsidR="00181D9B">
        <w:t xml:space="preserve">the LSAB will commission Safeguarding Adult Reviews. </w:t>
      </w:r>
      <w:r w:rsidR="002F7285">
        <w:t xml:space="preserve">The Local Authority will also </w:t>
      </w:r>
      <w:r w:rsidR="002F7285">
        <w:lastRenderedPageBreak/>
        <w:t>initiate Safeguarding Adult Enquiries, or ask others to</w:t>
      </w:r>
      <w:r w:rsidR="00D60BFA">
        <w:t xml:space="preserve"> do</w:t>
      </w:r>
      <w:r w:rsidR="002F7285">
        <w:t xml:space="preserve"> so, if they suspect an adult is at risk of abuse or neglect.</w:t>
      </w:r>
    </w:p>
    <w:p w:rsidR="003F6AEF" w:rsidRDefault="003F6AEF" w:rsidP="00562D9B"/>
    <w:p w:rsidR="00107935" w:rsidRDefault="00562D9B" w:rsidP="00562D9B">
      <w:r>
        <w:t>Healthcare</w:t>
      </w:r>
      <w:r w:rsidR="002607BB">
        <w:t xml:space="preserve"> providers</w:t>
      </w:r>
      <w:r>
        <w:t xml:space="preserve"> </w:t>
      </w:r>
      <w:r w:rsidR="00107935">
        <w:t xml:space="preserve">must </w:t>
      </w:r>
      <w:r>
        <w:t>contribute towards safeguarding reviews</w:t>
      </w:r>
      <w:r w:rsidR="002F7285">
        <w:t xml:space="preserve"> (and enquiries)</w:t>
      </w:r>
      <w:r w:rsidR="00107935">
        <w:t xml:space="preserve"> as required</w:t>
      </w:r>
      <w:r>
        <w:t xml:space="preserve"> </w:t>
      </w:r>
      <w:r w:rsidR="00376214">
        <w:t>to do so by the Local Safeguarding Board. W</w:t>
      </w:r>
      <w:r w:rsidR="00107935">
        <w:t xml:space="preserve">here it is indicated that a </w:t>
      </w:r>
      <w:r>
        <w:t>serious incident</w:t>
      </w:r>
      <w:r w:rsidR="00107935">
        <w:t xml:space="preserve"> within healthcare</w:t>
      </w:r>
      <w:r w:rsidR="00934A0E">
        <w:t xml:space="preserve"> </w:t>
      </w:r>
      <w:r w:rsidR="00F83F08">
        <w:t>has</w:t>
      </w:r>
      <w:r w:rsidR="00107935">
        <w:t xml:space="preserve"> occurred</w:t>
      </w:r>
      <w:r w:rsidR="00934A0E">
        <w:t xml:space="preserve"> (see </w:t>
      </w:r>
      <w:r w:rsidR="006F7C64">
        <w:t>P</w:t>
      </w:r>
      <w:r w:rsidR="00934A0E">
        <w:t xml:space="preserve">art </w:t>
      </w:r>
      <w:r w:rsidR="006F7C64">
        <w:t>O</w:t>
      </w:r>
      <w:r w:rsidR="00934A0E">
        <w:t>ne</w:t>
      </w:r>
      <w:r w:rsidR="006F7C64">
        <w:t>,</w:t>
      </w:r>
      <w:r w:rsidR="00934A0E">
        <w:t xml:space="preserve"> section 1)</w:t>
      </w:r>
      <w:r w:rsidR="00376214">
        <w:t>,</w:t>
      </w:r>
      <w:r w:rsidR="00107935">
        <w:t xml:space="preserve"> </w:t>
      </w:r>
      <w:r w:rsidR="00F83F08">
        <w:t>the necessary declaration</w:t>
      </w:r>
      <w:r w:rsidR="00107935">
        <w:t xml:space="preserve"> must</w:t>
      </w:r>
      <w:r w:rsidR="00F83F08">
        <w:t xml:space="preserve"> be made</w:t>
      </w:r>
      <w:r>
        <w:t xml:space="preserve">. </w:t>
      </w:r>
    </w:p>
    <w:p w:rsidR="00107935" w:rsidRDefault="00107935" w:rsidP="00562D9B"/>
    <w:p w:rsidR="00F83F08" w:rsidRDefault="00562D9B" w:rsidP="00562D9B">
      <w:r>
        <w:t>Whilst the Local Authority will lead SCRs</w:t>
      </w:r>
      <w:r w:rsidR="007E7AAA">
        <w:t>,</w:t>
      </w:r>
      <w:r>
        <w:t xml:space="preserve"> SARs</w:t>
      </w:r>
      <w:r w:rsidR="007E7AAA">
        <w:t xml:space="preserve"> and initiate Safeguarding Enquiries</w:t>
      </w:r>
      <w:r w:rsidR="00B60729">
        <w:t>,</w:t>
      </w:r>
      <w:r w:rsidR="007E7AAA">
        <w:t xml:space="preserve"> </w:t>
      </w:r>
      <w:r>
        <w:t>healthcare must be able to gain assurance that</w:t>
      </w:r>
      <w:r w:rsidR="006F7C64">
        <w:t>,</w:t>
      </w:r>
      <w:r>
        <w:t xml:space="preserve"> </w:t>
      </w:r>
      <w:r w:rsidR="00107935">
        <w:t xml:space="preserve">if </w:t>
      </w:r>
      <w:r w:rsidR="00376214">
        <w:t xml:space="preserve">a </w:t>
      </w:r>
      <w:r w:rsidR="00107935">
        <w:t>pro</w:t>
      </w:r>
      <w:r>
        <w:t>blem</w:t>
      </w:r>
      <w:r w:rsidR="00376214">
        <w:t xml:space="preserve"> is</w:t>
      </w:r>
      <w:r>
        <w:t xml:space="preserve"> identified</w:t>
      </w:r>
      <w:r w:rsidR="00107935">
        <w:t xml:space="preserve">, appropriate measures </w:t>
      </w:r>
      <w:r w:rsidR="00934A0E">
        <w:t>will</w:t>
      </w:r>
      <w:r w:rsidR="00107935">
        <w:t xml:space="preserve"> be </w:t>
      </w:r>
      <w:r w:rsidR="009D2480">
        <w:t>undertaken to protect individuals that remain at risk and ultimately to</w:t>
      </w:r>
      <w:r w:rsidR="00934A0E">
        <w:t xml:space="preserve"> identify</w:t>
      </w:r>
      <w:r w:rsidR="009D2480">
        <w:t xml:space="preserve"> the</w:t>
      </w:r>
      <w:r w:rsidR="00934A0E">
        <w:t xml:space="preserve"> contributory factors and the fundamental issues</w:t>
      </w:r>
      <w:r>
        <w:t xml:space="preserve"> </w:t>
      </w:r>
      <w:r w:rsidR="00934A0E">
        <w:t>(</w:t>
      </w:r>
      <w:r>
        <w:t>in</w:t>
      </w:r>
      <w:r w:rsidR="00934A0E">
        <w:t xml:space="preserve"> a timely and proportionate way) </w:t>
      </w:r>
      <w:r>
        <w:t xml:space="preserve">to minimise the risk of further harm </w:t>
      </w:r>
      <w:r w:rsidR="005525B4">
        <w:t>and/</w:t>
      </w:r>
      <w:r>
        <w:t>or recurrence.</w:t>
      </w:r>
      <w:r w:rsidR="00F83F08" w:rsidRPr="00F83F08">
        <w:t xml:space="preserve"> The interface between the serious incident process and local safeguarding procedures must</w:t>
      </w:r>
      <w:r w:rsidR="00F83F08">
        <w:t xml:space="preserve"> therefore</w:t>
      </w:r>
      <w:r w:rsidR="00F83F08" w:rsidRPr="00F83F08">
        <w:t xml:space="preserve"> be articulated in the local multi-agency safeguarding</w:t>
      </w:r>
      <w:r w:rsidR="005525B4">
        <w:t xml:space="preserve"> policies and</w:t>
      </w:r>
      <w:r w:rsidR="00F83F08" w:rsidRPr="00F83F08">
        <w:t xml:space="preserve"> protocol</w:t>
      </w:r>
      <w:r w:rsidR="005525B4">
        <w:t>s</w:t>
      </w:r>
      <w:r w:rsidR="00934A0E">
        <w:t>.</w:t>
      </w:r>
      <w:r w:rsidR="00934A0E" w:rsidRPr="00934A0E">
        <w:t xml:space="preserve"> Providers and commissioners must liaise regularly with the local authority safeguarding lead to ensure that there is a coherent multi-a</w:t>
      </w:r>
      <w:r w:rsidR="00934A0E">
        <w:t>gency approach to investigating</w:t>
      </w:r>
      <w:r w:rsidR="002F7285">
        <w:t xml:space="preserve"> and responding to</w:t>
      </w:r>
      <w:r w:rsidR="00934A0E">
        <w:t xml:space="preserve"> safeguarding concerns</w:t>
      </w:r>
      <w:r w:rsidR="009D5BF4">
        <w:t>,</w:t>
      </w:r>
      <w:r w:rsidR="00934A0E">
        <w:t xml:space="preserve"> which is agreed by relevant partners</w:t>
      </w:r>
      <w:r w:rsidR="00F83F08" w:rsidRPr="00F83F08">
        <w:t xml:space="preserve">. </w:t>
      </w:r>
      <w:r w:rsidR="00934A0E">
        <w:t xml:space="preserve">Partners should develop a memorandum of understanding to support partnership working wherever possible. </w:t>
      </w:r>
      <w:r w:rsidR="005525B4">
        <w:t xml:space="preserve"> </w:t>
      </w:r>
      <w:r w:rsidR="00934A0E">
        <w:t xml:space="preserve">  </w:t>
      </w:r>
    </w:p>
    <w:p w:rsidR="00F83F08" w:rsidRDefault="00F83F08" w:rsidP="00562D9B"/>
    <w:p w:rsidR="00F83F08" w:rsidRDefault="00562D9B" w:rsidP="0072371B">
      <w:pPr>
        <w:pStyle w:val="Heading3"/>
        <w:numPr>
          <w:ilvl w:val="2"/>
          <w:numId w:val="24"/>
        </w:numPr>
      </w:pPr>
      <w:bookmarkStart w:id="25" w:name="_Toc414568037"/>
      <w:r>
        <w:t>Domestic Homicide Reviews</w:t>
      </w:r>
      <w:bookmarkEnd w:id="25"/>
    </w:p>
    <w:p w:rsidR="00355842" w:rsidRPr="00F83F08" w:rsidRDefault="00D81AB3" w:rsidP="00D81AB3">
      <w:r>
        <w:t xml:space="preserve">A Domestic Homicide is identified by the </w:t>
      </w:r>
      <w:r w:rsidR="006F7C64">
        <w:t>p</w:t>
      </w:r>
      <w:r>
        <w:t>olice usually in partnership with the Community Safety Partnership (CSP) with whom the overall responsibility lies for establishing a review of the case.  Where the CSP considers that the criteria for a Domestic Homicide Review (DHR) are met, they will utilise local contacts and request the establishment of a DHR Panel.</w:t>
      </w:r>
      <w:r w:rsidR="00376214">
        <w:t xml:space="preserve"> </w:t>
      </w:r>
      <w:r>
        <w:t>T</w:t>
      </w:r>
      <w:r w:rsidRPr="00D81AB3">
        <w:t xml:space="preserve">he Domestic Violence, Crime and Victims Act 2004, </w:t>
      </w:r>
      <w:r>
        <w:t>sets out the statutory obligations and</w:t>
      </w:r>
      <w:r w:rsidRPr="00D81AB3">
        <w:t xml:space="preserve"> requirements of providers and commissioners of health services</w:t>
      </w:r>
      <w:r>
        <w:t xml:space="preserve"> in relation to domestic homicide reviews. </w:t>
      </w:r>
      <w:r w:rsidR="00BA5DE3">
        <w:t xml:space="preserve">See </w:t>
      </w:r>
      <w:r w:rsidR="006F7C64">
        <w:t>A</w:t>
      </w:r>
      <w:r w:rsidR="00BA5DE3">
        <w:t>ppendix 4</w:t>
      </w:r>
      <w:r w:rsidR="00355842">
        <w:t xml:space="preserve"> for further details</w:t>
      </w:r>
    </w:p>
    <w:p w:rsidR="00562D9B" w:rsidRDefault="00562D9B" w:rsidP="00562D9B"/>
    <w:p w:rsidR="00562D9B" w:rsidRDefault="00CD1556" w:rsidP="0072371B">
      <w:pPr>
        <w:pStyle w:val="Heading3"/>
        <w:numPr>
          <w:ilvl w:val="2"/>
          <w:numId w:val="24"/>
        </w:numPr>
      </w:pPr>
      <w:r>
        <w:t xml:space="preserve"> </w:t>
      </w:r>
      <w:bookmarkStart w:id="26" w:name="_Toc414568038"/>
      <w:r w:rsidR="00652567">
        <w:t>Ho</w:t>
      </w:r>
      <w:r w:rsidR="00562D9B">
        <w:t>micide</w:t>
      </w:r>
      <w:r w:rsidR="00E94B4A">
        <w:t xml:space="preserve"> by patients in receipt of mental health care</w:t>
      </w:r>
      <w:bookmarkEnd w:id="26"/>
    </w:p>
    <w:p w:rsidR="00601D81" w:rsidRDefault="00B60729" w:rsidP="00562D9B">
      <w:r>
        <w:t>Where patients in receipt of m</w:t>
      </w:r>
      <w:r w:rsidR="00355842">
        <w:t>ental</w:t>
      </w:r>
      <w:r w:rsidR="00E94B4A">
        <w:t xml:space="preserve"> </w:t>
      </w:r>
      <w:r w:rsidR="005F718F">
        <w:t>h</w:t>
      </w:r>
      <w:r w:rsidR="00E94B4A">
        <w:t xml:space="preserve">ealth </w:t>
      </w:r>
      <w:r>
        <w:t xml:space="preserve">services commit a </w:t>
      </w:r>
      <w:r w:rsidR="005F718F">
        <w:t>h</w:t>
      </w:r>
      <w:r w:rsidR="00E94B4A">
        <w:t>omicide</w:t>
      </w:r>
      <w:r>
        <w:t>, NHS England will consider and</w:t>
      </w:r>
      <w:r w:rsidR="00FE0FBC">
        <w:t>,</w:t>
      </w:r>
      <w:r>
        <w:t xml:space="preserve"> </w:t>
      </w:r>
      <w:r w:rsidR="00FE0FBC">
        <w:t>if</w:t>
      </w:r>
      <w:r>
        <w:t xml:space="preserve"> appropriate</w:t>
      </w:r>
      <w:r w:rsidR="00FE0FBC">
        <w:t>,</w:t>
      </w:r>
      <w:r>
        <w:t xml:space="preserve"> commission an</w:t>
      </w:r>
      <w:r w:rsidR="00E94B4A">
        <w:t xml:space="preserve"> </w:t>
      </w:r>
      <w:r w:rsidR="005F718F">
        <w:t>i</w:t>
      </w:r>
      <w:r w:rsidR="00E94B4A">
        <w:t>nvestigation</w:t>
      </w:r>
      <w:r>
        <w:t>. This process is</w:t>
      </w:r>
      <w:r w:rsidR="00E94B4A">
        <w:t xml:space="preserve"> overseen by NHS England</w:t>
      </w:r>
      <w:r>
        <w:t>’s</w:t>
      </w:r>
      <w:r w:rsidR="00E94B4A">
        <w:t xml:space="preserve"> </w:t>
      </w:r>
      <w:r w:rsidR="00FE0FBC">
        <w:t>R</w:t>
      </w:r>
      <w:r w:rsidR="00E94B4A">
        <w:t xml:space="preserve">egional </w:t>
      </w:r>
      <w:r w:rsidR="002938D0">
        <w:t>investigation team</w:t>
      </w:r>
      <w:r>
        <w:t>s</w:t>
      </w:r>
      <w:r w:rsidR="005F718F">
        <w:t xml:space="preserve">. The </w:t>
      </w:r>
      <w:r w:rsidR="00FE0FBC">
        <w:t>R</w:t>
      </w:r>
      <w:r w:rsidR="005F718F">
        <w:t>egional investigation teams have each established an</w:t>
      </w:r>
      <w:r w:rsidR="005525B4">
        <w:t xml:space="preserve"> Independent Investigation Review Group </w:t>
      </w:r>
      <w:r w:rsidR="005F718F">
        <w:t>(</w:t>
      </w:r>
      <w:r w:rsidR="005525B4">
        <w:t>IIRG)</w:t>
      </w:r>
      <w:r w:rsidR="005F718F">
        <w:t xml:space="preserve"> which reviews and considers cases requiring investigation</w:t>
      </w:r>
      <w:r w:rsidR="00E94B4A">
        <w:t xml:space="preserve">. </w:t>
      </w:r>
      <w:r>
        <w:t>Clearly there will be</w:t>
      </w:r>
      <w:r w:rsidR="00355842">
        <w:t xml:space="preserve"> interfaces with other organisations </w:t>
      </w:r>
      <w:r>
        <w:t>including</w:t>
      </w:r>
      <w:r w:rsidR="00355842">
        <w:t xml:space="preserve"> the </w:t>
      </w:r>
      <w:r w:rsidR="00FE0FBC">
        <w:t>p</w:t>
      </w:r>
      <w:r w:rsidR="00355842">
        <w:t>olice and potential</w:t>
      </w:r>
      <w:r w:rsidR="005525B4">
        <w:t xml:space="preserve">ly the Local Authority </w:t>
      </w:r>
      <w:r w:rsidR="007C6989">
        <w:t>(</w:t>
      </w:r>
      <w:r w:rsidR="005525B4">
        <w:t>as</w:t>
      </w:r>
      <w:r w:rsidR="00E94B4A">
        <w:t xml:space="preserve"> there</w:t>
      </w:r>
      <w:r w:rsidR="00355842">
        <w:t xml:space="preserve"> may be interfaces with other types of investigation such as DHR</w:t>
      </w:r>
      <w:r w:rsidR="005525B4">
        <w:t>s</w:t>
      </w:r>
      <w:r w:rsidR="00355842">
        <w:t xml:space="preserve"> and/or SCRs/SARs</w:t>
      </w:r>
      <w:r w:rsidR="00FE0FBC">
        <w:t>,</w:t>
      </w:r>
      <w:r w:rsidR="00355842">
        <w:t xml:space="preserve"> depending on the nature of the case</w:t>
      </w:r>
      <w:r w:rsidR="007C6989">
        <w:t>)</w:t>
      </w:r>
      <w:r w:rsidR="00355842">
        <w:t>.</w:t>
      </w:r>
      <w:r w:rsidR="008D2599">
        <w:t xml:space="preserve"> </w:t>
      </w:r>
      <w:r w:rsidR="00E94B4A">
        <w:t>To manage the complexities associated with such investigations</w:t>
      </w:r>
      <w:r w:rsidR="00A34635">
        <w:t xml:space="preserve"> (and to facilitate joint investigations where possible)</w:t>
      </w:r>
      <w:r w:rsidR="005525B4">
        <w:t>,</w:t>
      </w:r>
      <w:r w:rsidR="00E94B4A">
        <w:t xml:space="preserve"> a clearly </w:t>
      </w:r>
      <w:r w:rsidR="002938D0">
        <w:t>defined investigation</w:t>
      </w:r>
      <w:r w:rsidR="00E94B4A">
        <w:t xml:space="preserve"> process has been agreed. Central to this process is the involvement of all relevant parties</w:t>
      </w:r>
      <w:r w:rsidR="005525B4">
        <w:t>,</w:t>
      </w:r>
      <w:r w:rsidR="00E94B4A">
        <w:t xml:space="preserve"> which includes the patient, victim(s), perpetrator and their families and carers</w:t>
      </w:r>
      <w:r w:rsidR="005525B4">
        <w:t>, and mechanisms to support openness and transparency throughout</w:t>
      </w:r>
      <w:r w:rsidR="00E94B4A">
        <w:t xml:space="preserve">. See </w:t>
      </w:r>
      <w:r w:rsidR="00FE0FBC">
        <w:t>A</w:t>
      </w:r>
      <w:r w:rsidR="00601D81">
        <w:t xml:space="preserve">ppendix </w:t>
      </w:r>
      <w:r w:rsidR="00473F60">
        <w:t>1</w:t>
      </w:r>
      <w:r w:rsidR="00601D81">
        <w:t xml:space="preserve"> for further details.</w:t>
      </w:r>
    </w:p>
    <w:p w:rsidR="00355842" w:rsidRDefault="00355842" w:rsidP="00562D9B"/>
    <w:p w:rsidR="00562D9B" w:rsidRDefault="00562D9B" w:rsidP="0072371B">
      <w:pPr>
        <w:pStyle w:val="Heading3"/>
        <w:numPr>
          <w:ilvl w:val="2"/>
          <w:numId w:val="24"/>
        </w:numPr>
      </w:pPr>
      <w:bookmarkStart w:id="27" w:name="_Toc414568039"/>
      <w:r>
        <w:t>Serious Incidents in National Screening Programmes</w:t>
      </w:r>
      <w:bookmarkEnd w:id="27"/>
    </w:p>
    <w:p w:rsidR="00B13013" w:rsidRDefault="00B13013" w:rsidP="00B13013">
      <w:r>
        <w:lastRenderedPageBreak/>
        <w:t xml:space="preserve">Serious Incidents in </w:t>
      </w:r>
      <w:r w:rsidR="00FE0FBC">
        <w:t xml:space="preserve">NHS </w:t>
      </w:r>
      <w:r>
        <w:t xml:space="preserve">National Screening Programmes must be managed in line with the guidance: </w:t>
      </w:r>
      <w:r w:rsidRPr="005525B4">
        <w:rPr>
          <w:i/>
        </w:rPr>
        <w:t xml:space="preserve">Managing </w:t>
      </w:r>
      <w:r>
        <w:rPr>
          <w:i/>
        </w:rPr>
        <w:t xml:space="preserve">Safety </w:t>
      </w:r>
      <w:r w:rsidRPr="005525B4">
        <w:rPr>
          <w:i/>
        </w:rPr>
        <w:t>Incidents in National Screening Programmes</w:t>
      </w:r>
      <w:r w:rsidR="00FE0FBC">
        <w:rPr>
          <w:i/>
        </w:rPr>
        <w:t>,</w:t>
      </w:r>
      <w:r>
        <w:rPr>
          <w:rStyle w:val="FootnoteReference"/>
          <w:i/>
        </w:rPr>
        <w:footnoteReference w:id="26"/>
      </w:r>
      <w:r w:rsidR="00655540">
        <w:rPr>
          <w:i/>
        </w:rPr>
        <w:t xml:space="preserve"> </w:t>
      </w:r>
      <w:r>
        <w:t xml:space="preserve">which is aligned with the principles and processes set out in this </w:t>
      </w:r>
      <w:r w:rsidR="005A7486">
        <w:t>Framework</w:t>
      </w:r>
      <w:r>
        <w:t>. The guidance provides further clarity with regards to the accountabilities, roles and process</w:t>
      </w:r>
      <w:r w:rsidR="00B60729">
        <w:t>es</w:t>
      </w:r>
      <w:r>
        <w:t xml:space="preserve"> for managing screening safety incidents and serious incidents in national screening programmes.  These are often very complex, multi-faceted incidents that require robust coordination and oversight by Screening and Immunisation Teams working within Sub-regions and specialist input </w:t>
      </w:r>
      <w:r w:rsidR="002938D0">
        <w:t>from Public</w:t>
      </w:r>
      <w:r>
        <w:t xml:space="preserve"> Health England’s Screening Quality Assurance Service.  </w:t>
      </w:r>
    </w:p>
    <w:p w:rsidR="00B13013" w:rsidRDefault="00B13013" w:rsidP="00B13013"/>
    <w:p w:rsidR="00B13013" w:rsidRDefault="00B13013" w:rsidP="00B13013">
      <w:r>
        <w:t>The Screening Quality Assurance Service is also responsible for surveillance and trend analysis of all screening incidents. It will ensure that the lessons identified from incidents are collated nationally and disseminated. Where appropriate these will be used to inform changes to national screening programme policy and education/training strategies for screening staff.</w:t>
      </w:r>
    </w:p>
    <w:p w:rsidR="00E05340" w:rsidRDefault="00376214" w:rsidP="00E05340">
      <w:r>
        <w:br w:type="page"/>
      </w:r>
    </w:p>
    <w:p w:rsidR="009D2EEC" w:rsidRDefault="009D2EEC" w:rsidP="009D2EEC">
      <w:pPr>
        <w:pStyle w:val="Heading1"/>
      </w:pPr>
      <w:bookmarkStart w:id="28" w:name="_Toc414568040"/>
      <w:r>
        <w:t>Part Two: Underpinning Principles</w:t>
      </w:r>
      <w:bookmarkEnd w:id="28"/>
    </w:p>
    <w:p w:rsidR="000422F6" w:rsidRPr="00E05340" w:rsidRDefault="000422F6" w:rsidP="00E05340"/>
    <w:p w:rsidR="003B1330" w:rsidRDefault="009D2EEC" w:rsidP="0072371B">
      <w:pPr>
        <w:pStyle w:val="Heading1"/>
        <w:numPr>
          <w:ilvl w:val="0"/>
          <w:numId w:val="37"/>
        </w:numPr>
      </w:pPr>
      <w:bookmarkStart w:id="29" w:name="_Toc414568041"/>
      <w:r>
        <w:t xml:space="preserve">Seven </w:t>
      </w:r>
      <w:r w:rsidR="003A5753">
        <w:t>Key</w:t>
      </w:r>
      <w:r w:rsidR="003B1330">
        <w:t xml:space="preserve"> Principles</w:t>
      </w:r>
      <w:bookmarkEnd w:id="29"/>
    </w:p>
    <w:p w:rsidR="002873EA" w:rsidRDefault="002873EA" w:rsidP="003B1330"/>
    <w:p w:rsidR="003B1330" w:rsidRDefault="003B1330" w:rsidP="003B1330">
      <w:r>
        <w:t xml:space="preserve">This </w:t>
      </w:r>
      <w:r w:rsidR="005A7486">
        <w:t>Framework</w:t>
      </w:r>
      <w:r w:rsidR="00F90F99">
        <w:t xml:space="preserve"> endorses the application of 7</w:t>
      </w:r>
      <w:r>
        <w:t xml:space="preserve"> key principles in the management of all serious incidents:</w:t>
      </w:r>
    </w:p>
    <w:p w:rsidR="003B1330" w:rsidRDefault="003B1330" w:rsidP="003B1330">
      <w:r>
        <w:rPr>
          <w:noProof/>
          <w:lang w:eastAsia="en-GB"/>
        </w:rPr>
        <w:drawing>
          <wp:inline distT="0" distB="0" distL="0" distR="0" wp14:anchorId="2487E1AC" wp14:editId="0BE942CD">
            <wp:extent cx="5838825" cy="45720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873EA" w:rsidRDefault="002873EA" w:rsidP="003B1330"/>
    <w:p w:rsidR="003B1330" w:rsidRDefault="003B1330" w:rsidP="003B1330">
      <w:r>
        <w:t xml:space="preserve">Figure 1: </w:t>
      </w:r>
      <w:r w:rsidR="006C4A37">
        <w:t>Principles of Serious Incident Management</w:t>
      </w:r>
    </w:p>
    <w:p w:rsidR="00F23515" w:rsidRDefault="00F23515" w:rsidP="003B1330"/>
    <w:tbl>
      <w:tblPr>
        <w:tblStyle w:val="LightGrid-Accent1"/>
        <w:tblW w:w="10206" w:type="dxa"/>
        <w:tblLook w:val="04A0" w:firstRow="1" w:lastRow="0" w:firstColumn="1" w:lastColumn="0" w:noHBand="0" w:noVBand="1"/>
      </w:tblPr>
      <w:tblGrid>
        <w:gridCol w:w="1844"/>
        <w:gridCol w:w="8362"/>
      </w:tblGrid>
      <w:tr w:rsidR="005B58F4" w:rsidTr="004B0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rsidR="005B58F4" w:rsidRPr="00EA0233" w:rsidRDefault="005B58F4" w:rsidP="003B1330">
            <w:pPr>
              <w:rPr>
                <w:rFonts w:ascii="Arial" w:hAnsi="Arial" w:cs="Arial"/>
              </w:rPr>
            </w:pPr>
            <w:r w:rsidRPr="00EA0233">
              <w:rPr>
                <w:rFonts w:ascii="Arial" w:hAnsi="Arial" w:cs="Arial"/>
              </w:rPr>
              <w:t>Key Principle</w:t>
            </w:r>
          </w:p>
        </w:tc>
        <w:tc>
          <w:tcPr>
            <w:tcW w:w="8362" w:type="dxa"/>
          </w:tcPr>
          <w:p w:rsidR="005B58F4" w:rsidRPr="00EA0233" w:rsidRDefault="009D2EEC" w:rsidP="003B133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Supporting Information</w:t>
            </w:r>
          </w:p>
        </w:tc>
      </w:tr>
      <w:tr w:rsidR="005B58F4" w:rsidTr="004B0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rsidR="005B58F4" w:rsidRPr="00EA0233" w:rsidRDefault="005B58F4" w:rsidP="003B1330">
            <w:pPr>
              <w:rPr>
                <w:rFonts w:ascii="Arial" w:hAnsi="Arial" w:cs="Arial"/>
              </w:rPr>
            </w:pPr>
            <w:r w:rsidRPr="00EA0233">
              <w:rPr>
                <w:rFonts w:ascii="Arial" w:hAnsi="Arial" w:cs="Arial"/>
              </w:rPr>
              <w:t>Open and Transparent</w:t>
            </w:r>
          </w:p>
        </w:tc>
        <w:tc>
          <w:tcPr>
            <w:tcW w:w="8362" w:type="dxa"/>
          </w:tcPr>
          <w:p w:rsidR="00A34635" w:rsidRDefault="00A34635" w:rsidP="00E4378E">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needs of those affected should be the primary concern of those involved in the response to and the investigation of serious incidents. </w:t>
            </w:r>
          </w:p>
          <w:p w:rsidR="00E4378E" w:rsidRPr="00EA0233" w:rsidRDefault="00E4378E" w:rsidP="00E4378E">
            <w:pPr>
              <w:cnfStyle w:val="000000100000" w:firstRow="0" w:lastRow="0" w:firstColumn="0" w:lastColumn="0" w:oddVBand="0" w:evenVBand="0" w:oddHBand="1" w:evenHBand="0" w:firstRowFirstColumn="0" w:firstRowLastColumn="0" w:lastRowFirstColumn="0" w:lastRowLastColumn="0"/>
              <w:rPr>
                <w:rFonts w:cs="Arial"/>
              </w:rPr>
            </w:pPr>
            <w:r w:rsidRPr="00EA0233">
              <w:rPr>
                <w:rFonts w:cs="Arial"/>
              </w:rPr>
              <w:t>The principles of openness</w:t>
            </w:r>
            <w:r w:rsidR="005525B4">
              <w:rPr>
                <w:rFonts w:cs="Arial"/>
              </w:rPr>
              <w:t xml:space="preserve"> and honesty</w:t>
            </w:r>
            <w:r w:rsidRPr="00EA0233">
              <w:rPr>
                <w:rFonts w:cs="Arial"/>
              </w:rPr>
              <w:t xml:space="preserve"> as outlined in the NHS Being Open guidance</w:t>
            </w:r>
            <w:r w:rsidR="005141D4">
              <w:rPr>
                <w:rFonts w:cs="Arial"/>
              </w:rPr>
              <w:t xml:space="preserve"> and the NHS contractual Duty of Candour</w:t>
            </w:r>
            <w:r w:rsidR="0056623F">
              <w:rPr>
                <w:rStyle w:val="FootnoteReference"/>
                <w:rFonts w:cs="Arial"/>
              </w:rPr>
              <w:footnoteReference w:id="27"/>
            </w:r>
            <w:r w:rsidRPr="00EA0233">
              <w:rPr>
                <w:rFonts w:cs="Arial"/>
              </w:rPr>
              <w:t xml:space="preserve"> must be applied in discussions with those involved. This includes staff and patients, victims and perpetrators, and their families and carers. </w:t>
            </w:r>
          </w:p>
          <w:p w:rsidR="00E4378E" w:rsidRDefault="00E4378E" w:rsidP="00E4378E">
            <w:pPr>
              <w:cnfStyle w:val="000000100000" w:firstRow="0" w:lastRow="0" w:firstColumn="0" w:lastColumn="0" w:oddVBand="0" w:evenVBand="0" w:oddHBand="1" w:evenHBand="0" w:firstRowFirstColumn="0" w:firstRowLastColumn="0" w:lastRowFirstColumn="0" w:lastRowLastColumn="0"/>
              <w:rPr>
                <w:rFonts w:cs="Arial"/>
              </w:rPr>
            </w:pPr>
          </w:p>
          <w:p w:rsidR="00E4378E" w:rsidRPr="00EA0233" w:rsidRDefault="005525B4" w:rsidP="00E4378E">
            <w:pPr>
              <w:cnfStyle w:val="000000100000" w:firstRow="0" w:lastRow="0" w:firstColumn="0" w:lastColumn="0" w:oddVBand="0" w:evenVBand="0" w:oddHBand="1" w:evenHBand="0" w:firstRowFirstColumn="0" w:firstRowLastColumn="0" w:lastRowFirstColumn="0" w:lastRowLastColumn="0"/>
              <w:rPr>
                <w:rFonts w:cs="Arial"/>
              </w:rPr>
            </w:pPr>
            <w:r>
              <w:rPr>
                <w:rFonts w:cs="Arial"/>
              </w:rPr>
              <w:t>O</w:t>
            </w:r>
            <w:r w:rsidR="00E65621">
              <w:rPr>
                <w:rFonts w:cs="Arial"/>
              </w:rPr>
              <w:t xml:space="preserve">penness and transparency (as described in ‘Being Open’) </w:t>
            </w:r>
            <w:r w:rsidR="00E4378E" w:rsidRPr="00EA0233">
              <w:rPr>
                <w:rFonts w:cs="Arial"/>
              </w:rPr>
              <w:t>means:</w:t>
            </w:r>
          </w:p>
          <w:p w:rsidR="00E4378E" w:rsidRPr="00EA0233" w:rsidRDefault="00E4378E" w:rsidP="00E4378E">
            <w:pPr>
              <w:cnfStyle w:val="000000100000" w:firstRow="0" w:lastRow="0" w:firstColumn="0" w:lastColumn="0" w:oddVBand="0" w:evenVBand="0" w:oddHBand="1" w:evenHBand="0" w:firstRowFirstColumn="0" w:firstRowLastColumn="0" w:lastRowFirstColumn="0" w:lastRowLastColumn="0"/>
              <w:rPr>
                <w:rFonts w:cs="Arial"/>
              </w:rPr>
            </w:pPr>
          </w:p>
          <w:p w:rsidR="00E4378E" w:rsidRPr="00EA0233" w:rsidRDefault="00E4378E" w:rsidP="002F11B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Arial"/>
              </w:rPr>
            </w:pPr>
            <w:r w:rsidRPr="00EA0233">
              <w:rPr>
                <w:rFonts w:cs="Arial"/>
              </w:rPr>
              <w:t>Acknowledging, sincerely apologising and explaining when things have gone wrong;</w:t>
            </w:r>
          </w:p>
          <w:p w:rsidR="00E4378E" w:rsidRPr="00EA0233" w:rsidRDefault="00E4378E" w:rsidP="002F11B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Arial"/>
              </w:rPr>
            </w:pPr>
            <w:r w:rsidRPr="00EA0233">
              <w:rPr>
                <w:rFonts w:cs="Arial"/>
              </w:rPr>
              <w:t>Conducting a thorough investigation into the incident, ensuring patients, their families and carers are satisfied that lessons learned will help prevent the incident recurring;</w:t>
            </w:r>
          </w:p>
          <w:p w:rsidR="00E4378E" w:rsidRPr="00EA0233" w:rsidRDefault="00E4378E" w:rsidP="002F11B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Arial"/>
              </w:rPr>
            </w:pPr>
            <w:r w:rsidRPr="00EA0233">
              <w:rPr>
                <w:rFonts w:cs="Arial"/>
              </w:rPr>
              <w:t>Providing support for those involved to cope with the physical and psychological consequences of what happened</w:t>
            </w:r>
            <w:r w:rsidRPr="00EA0233">
              <w:rPr>
                <w:rStyle w:val="EndnoteReference"/>
                <w:rFonts w:cs="Arial"/>
              </w:rPr>
              <w:endnoteReference w:id="4"/>
            </w:r>
          </w:p>
          <w:p w:rsidR="00E4378E" w:rsidRPr="00EA0233" w:rsidRDefault="00E4378E" w:rsidP="00E4378E">
            <w:pPr>
              <w:cnfStyle w:val="000000100000" w:firstRow="0" w:lastRow="0" w:firstColumn="0" w:lastColumn="0" w:oddVBand="0" w:evenVBand="0" w:oddHBand="1" w:evenHBand="0" w:firstRowFirstColumn="0" w:firstRowLastColumn="0" w:lastRowFirstColumn="0" w:lastRowLastColumn="0"/>
              <w:rPr>
                <w:rFonts w:cs="Arial"/>
              </w:rPr>
            </w:pPr>
          </w:p>
          <w:p w:rsidR="00E4378E" w:rsidRDefault="00A84386" w:rsidP="009D5BF4">
            <w:pPr>
              <w:cnfStyle w:val="000000100000" w:firstRow="0" w:lastRow="0" w:firstColumn="0" w:lastColumn="0" w:oddVBand="0" w:evenVBand="0" w:oddHBand="1" w:evenHBand="0" w:firstRowFirstColumn="0" w:firstRowLastColumn="0" w:lastRowFirstColumn="0" w:lastRowLastColumn="0"/>
              <w:rPr>
                <w:rFonts w:cs="Arial"/>
              </w:rPr>
            </w:pPr>
            <w:r>
              <w:rPr>
                <w:rFonts w:cs="Arial"/>
              </w:rPr>
              <w:t>S</w:t>
            </w:r>
            <w:r w:rsidR="00E4378E" w:rsidRPr="00EA0233">
              <w:rPr>
                <w:rFonts w:cs="Arial"/>
              </w:rPr>
              <w:t>aying sorry is not an admission of liability and is the right thing to do. Healthcare organisations should decide on the most appropriate members of staff to give both verbal and written apologies and information to those involved. This must be done as early as possible and then on an ongoing basis as appropriate.</w:t>
            </w:r>
            <w:r w:rsidR="00A71D19" w:rsidRPr="00EA0233">
              <w:rPr>
                <w:rFonts w:cs="Arial"/>
              </w:rPr>
              <w:t xml:space="preserve"> </w:t>
            </w:r>
          </w:p>
          <w:p w:rsidR="009D5BF4" w:rsidRDefault="009D5BF4" w:rsidP="009D5BF4">
            <w:pPr>
              <w:cnfStyle w:val="000000100000" w:firstRow="0" w:lastRow="0" w:firstColumn="0" w:lastColumn="0" w:oddVBand="0" w:evenVBand="0" w:oddHBand="1" w:evenHBand="0" w:firstRowFirstColumn="0" w:firstRowLastColumn="0" w:lastRowFirstColumn="0" w:lastRowLastColumn="0"/>
              <w:rPr>
                <w:rFonts w:cs="Arial"/>
              </w:rPr>
            </w:pPr>
          </w:p>
          <w:p w:rsidR="009D5BF4" w:rsidRDefault="009D5BF4" w:rsidP="009D5BF4">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NHS Litigation Authority provides advice on saying sorry available online from: </w:t>
            </w:r>
            <w:hyperlink r:id="rId19" w:history="1">
              <w:r w:rsidRPr="00553458">
                <w:rPr>
                  <w:rStyle w:val="Hyperlink"/>
                  <w:rFonts w:cs="Arial"/>
                </w:rPr>
                <w:t>http://www.nhsla.com/claims/Documents/Saying%20Sorry%20-%20Leaflet.pdf</w:t>
              </w:r>
            </w:hyperlink>
            <w:r>
              <w:rPr>
                <w:rFonts w:cs="Arial"/>
              </w:rPr>
              <w:t xml:space="preserve"> </w:t>
            </w:r>
          </w:p>
          <w:p w:rsidR="00952AB3" w:rsidRDefault="00952AB3" w:rsidP="009D5BF4">
            <w:pPr>
              <w:cnfStyle w:val="000000100000" w:firstRow="0" w:lastRow="0" w:firstColumn="0" w:lastColumn="0" w:oddVBand="0" w:evenVBand="0" w:oddHBand="1" w:evenHBand="0" w:firstRowFirstColumn="0" w:firstRowLastColumn="0" w:lastRowFirstColumn="0" w:lastRowLastColumn="0"/>
              <w:rPr>
                <w:rFonts w:cs="Arial"/>
              </w:rPr>
            </w:pPr>
          </w:p>
          <w:p w:rsidR="00952AB3" w:rsidRPr="00EA0233" w:rsidRDefault="00952AB3" w:rsidP="004B0A7F">
            <w:pPr>
              <w:spacing w:after="120"/>
              <w:cnfStyle w:val="000000100000" w:firstRow="0" w:lastRow="0" w:firstColumn="0" w:lastColumn="0" w:oddVBand="0" w:evenVBand="0" w:oddHBand="1" w:evenHBand="0" w:firstRowFirstColumn="0" w:firstRowLastColumn="0" w:lastRowFirstColumn="0" w:lastRowLastColumn="0"/>
              <w:rPr>
                <w:rFonts w:cs="Arial"/>
              </w:rPr>
            </w:pPr>
            <w:r>
              <w:rPr>
                <w:rFonts w:cs="Arial"/>
              </w:rPr>
              <w:t>Part three; section</w:t>
            </w:r>
            <w:r w:rsidR="00BA5DE3">
              <w:rPr>
                <w:rFonts w:cs="Arial"/>
              </w:rPr>
              <w:t xml:space="preserve"> 4.2</w:t>
            </w:r>
            <w:r>
              <w:rPr>
                <w:rFonts w:cs="Arial"/>
              </w:rPr>
              <w:t xml:space="preserve"> outlines the steps required to support this principle. </w:t>
            </w:r>
          </w:p>
        </w:tc>
      </w:tr>
      <w:tr w:rsidR="005B58F4" w:rsidTr="004B0A7F">
        <w:trPr>
          <w:cnfStyle w:val="000000010000" w:firstRow="0" w:lastRow="0" w:firstColumn="0" w:lastColumn="0" w:oddVBand="0" w:evenVBand="0" w:oddHBand="0" w:evenHBand="1" w:firstRowFirstColumn="0" w:firstRowLastColumn="0" w:lastRowFirstColumn="0" w:lastRowLastColumn="0"/>
          <w:trHeight w:val="2242"/>
        </w:trPr>
        <w:tc>
          <w:tcPr>
            <w:cnfStyle w:val="001000000000" w:firstRow="0" w:lastRow="0" w:firstColumn="1" w:lastColumn="0" w:oddVBand="0" w:evenVBand="0" w:oddHBand="0" w:evenHBand="0" w:firstRowFirstColumn="0" w:firstRowLastColumn="0" w:lastRowFirstColumn="0" w:lastRowLastColumn="0"/>
            <w:tcW w:w="1844" w:type="dxa"/>
          </w:tcPr>
          <w:p w:rsidR="00481A47" w:rsidRPr="00EA0233" w:rsidRDefault="00006DCE" w:rsidP="00481A47">
            <w:pPr>
              <w:rPr>
                <w:rFonts w:cs="Arial"/>
                <w:b w:val="0"/>
                <w:bCs/>
              </w:rPr>
            </w:pPr>
            <w:r w:rsidRPr="00EA0233">
              <w:rPr>
                <w:rFonts w:ascii="Arial" w:hAnsi="Arial" w:cs="Arial"/>
              </w:rPr>
              <w:lastRenderedPageBreak/>
              <w:t>Preventative</w:t>
            </w:r>
          </w:p>
          <w:p w:rsidR="00481A47" w:rsidRPr="00EA0233" w:rsidRDefault="00481A47" w:rsidP="003B1330">
            <w:pPr>
              <w:rPr>
                <w:rFonts w:ascii="Arial" w:hAnsi="Arial" w:cs="Arial"/>
              </w:rPr>
            </w:pPr>
          </w:p>
        </w:tc>
        <w:tc>
          <w:tcPr>
            <w:tcW w:w="8362" w:type="dxa"/>
          </w:tcPr>
          <w:p w:rsidR="00006DCE" w:rsidRDefault="00385ACE" w:rsidP="004B0A7F">
            <w:pPr>
              <w:spacing w:before="120"/>
              <w:cnfStyle w:val="000000010000" w:firstRow="0" w:lastRow="0" w:firstColumn="0" w:lastColumn="0" w:oddVBand="0" w:evenVBand="0" w:oddHBand="0" w:evenHBand="1" w:firstRowFirstColumn="0" w:firstRowLastColumn="0" w:lastRowFirstColumn="0" w:lastRowLastColumn="0"/>
              <w:rPr>
                <w:rFonts w:cs="Arial"/>
              </w:rPr>
            </w:pPr>
            <w:r>
              <w:rPr>
                <w:rFonts w:cs="Arial"/>
              </w:rPr>
              <w:t>I</w:t>
            </w:r>
            <w:r w:rsidR="00006DCE" w:rsidRPr="00EA0233">
              <w:rPr>
                <w:rFonts w:cs="Arial"/>
              </w:rPr>
              <w:t>nvestigations of serious incidents are undertaken to ensure that</w:t>
            </w:r>
            <w:r w:rsidR="009522F6">
              <w:rPr>
                <w:rFonts w:cs="Arial"/>
              </w:rPr>
              <w:t xml:space="preserve"> weaknesses in a system and/or process are identified and </w:t>
            </w:r>
            <w:r w:rsidR="00FE0104">
              <w:rPr>
                <w:rFonts w:cs="Arial"/>
              </w:rPr>
              <w:t xml:space="preserve">analysed to understand what went wrong, how it went wrong and what can be done to </w:t>
            </w:r>
            <w:r w:rsidR="00006DCE" w:rsidRPr="00EA0233">
              <w:rPr>
                <w:rFonts w:cs="Arial"/>
              </w:rPr>
              <w:t>prevent sim</w:t>
            </w:r>
            <w:r w:rsidR="00FE0104">
              <w:rPr>
                <w:rFonts w:cs="Arial"/>
              </w:rPr>
              <w:t>ilar incidents occurring again</w:t>
            </w:r>
            <w:r w:rsidR="00CF1BDC">
              <w:rPr>
                <w:rStyle w:val="EndnoteReference"/>
                <w:rFonts w:cs="Arial"/>
              </w:rPr>
              <w:endnoteReference w:id="5"/>
            </w:r>
            <w:r w:rsidR="00FE0104">
              <w:rPr>
                <w:rFonts w:cs="Arial"/>
              </w:rPr>
              <w:t xml:space="preserve">. </w:t>
            </w:r>
          </w:p>
          <w:p w:rsidR="00B60729" w:rsidRPr="00EA0233" w:rsidRDefault="00B60729" w:rsidP="00B60729">
            <w:pPr>
              <w:cnfStyle w:val="000000010000" w:firstRow="0" w:lastRow="0" w:firstColumn="0" w:lastColumn="0" w:oddVBand="0" w:evenVBand="0" w:oddHBand="0" w:evenHBand="1" w:firstRowFirstColumn="0" w:firstRowLastColumn="0" w:lastRowFirstColumn="0" w:lastRowLastColumn="0"/>
              <w:rPr>
                <w:rFonts w:cs="Arial"/>
              </w:rPr>
            </w:pPr>
          </w:p>
          <w:p w:rsidR="00311A7D" w:rsidRDefault="00385ACE" w:rsidP="00006DCE">
            <w:pPr>
              <w:cnfStyle w:val="000000010000" w:firstRow="0" w:lastRow="0" w:firstColumn="0" w:lastColumn="0" w:oddVBand="0" w:evenVBand="0" w:oddHBand="0" w:evenHBand="1" w:firstRowFirstColumn="0" w:firstRowLastColumn="0" w:lastRowFirstColumn="0" w:lastRowLastColumn="0"/>
            </w:pPr>
            <w:r w:rsidRPr="00385ACE">
              <w:rPr>
                <w:rFonts w:cs="Arial"/>
              </w:rPr>
              <w:t xml:space="preserve">Investigations carried out under this </w:t>
            </w:r>
            <w:r w:rsidR="005A7486">
              <w:rPr>
                <w:rFonts w:cs="Arial"/>
              </w:rPr>
              <w:t>Framework</w:t>
            </w:r>
            <w:r w:rsidRPr="00385ACE">
              <w:rPr>
                <w:rFonts w:cs="Arial"/>
              </w:rPr>
              <w:t xml:space="preserve"> are conducted for the purposes of learning to prevent recurrence. They are not inquiries into how a person died (where applicable) as this is a matter for Coroners. Neither are they conducted to hold any individual or organisation to account.  Other </w:t>
            </w:r>
            <w:r w:rsidR="009D5416">
              <w:rPr>
                <w:rFonts w:cs="Arial"/>
              </w:rPr>
              <w:t>processes</w:t>
            </w:r>
            <w:r w:rsidRPr="00385ACE">
              <w:rPr>
                <w:rFonts w:cs="Arial"/>
              </w:rPr>
              <w:t xml:space="preserve"> exist for that</w:t>
            </w:r>
            <w:r w:rsidR="009D5416">
              <w:rPr>
                <w:rFonts w:cs="Arial"/>
              </w:rPr>
              <w:t xml:space="preserve"> purpose</w:t>
            </w:r>
            <w:r w:rsidRPr="00385ACE">
              <w:rPr>
                <w:rFonts w:cs="Arial"/>
              </w:rPr>
              <w:t xml:space="preserve"> including: criminal or civil proceedings, disciplinary procedures, employment law and systems of service and professional regulation, such as the Care Quality Commission and the Nursing and Midwifery Council, the Health and Care Professions Council, and the General Medical Council. In circumstances where the actions of other agencies are required then those agencies must be appropriately informed and relevant protocols, outside the scope of this </w:t>
            </w:r>
            <w:r w:rsidR="005A7486">
              <w:rPr>
                <w:rFonts w:cs="Arial"/>
              </w:rPr>
              <w:t>Framework</w:t>
            </w:r>
            <w:r w:rsidRPr="00385ACE">
              <w:rPr>
                <w:rFonts w:cs="Arial"/>
              </w:rPr>
              <w:t xml:space="preserve">, must be followed. </w:t>
            </w:r>
          </w:p>
          <w:p w:rsidR="00B60729" w:rsidRDefault="00B60729" w:rsidP="00481A47">
            <w:pPr>
              <w:cnfStyle w:val="000000010000" w:firstRow="0" w:lastRow="0" w:firstColumn="0" w:lastColumn="0" w:oddVBand="0" w:evenVBand="0" w:oddHBand="0" w:evenHBand="1" w:firstRowFirstColumn="0" w:firstRowLastColumn="0" w:lastRowFirstColumn="0" w:lastRowLastColumn="0"/>
              <w:rPr>
                <w:rFonts w:cs="Arial"/>
              </w:rPr>
            </w:pPr>
          </w:p>
          <w:p w:rsidR="00C0290E" w:rsidRPr="00EA0233" w:rsidRDefault="00311A7D" w:rsidP="004B0A7F">
            <w:pPr>
              <w:spacing w:after="120"/>
              <w:cnfStyle w:val="000000010000" w:firstRow="0" w:lastRow="0" w:firstColumn="0" w:lastColumn="0" w:oddVBand="0" w:evenVBand="0" w:oddHBand="0" w:evenHBand="1" w:firstRowFirstColumn="0" w:firstRowLastColumn="0" w:lastRowFirstColumn="0" w:lastRowLastColumn="0"/>
              <w:rPr>
                <w:rFonts w:cs="Arial"/>
              </w:rPr>
            </w:pPr>
            <w:r>
              <w:rPr>
                <w:rFonts w:cs="Arial"/>
              </w:rPr>
              <w:t>O</w:t>
            </w:r>
            <w:r w:rsidRPr="00311A7D">
              <w:rPr>
                <w:rFonts w:cs="Arial"/>
              </w:rPr>
              <w:t>rganisation</w:t>
            </w:r>
            <w:r w:rsidR="005E1C2F">
              <w:rPr>
                <w:rFonts w:cs="Arial"/>
              </w:rPr>
              <w:t>s</w:t>
            </w:r>
            <w:r w:rsidRPr="00311A7D">
              <w:rPr>
                <w:rFonts w:cs="Arial"/>
              </w:rPr>
              <w:t xml:space="preserve"> must advocate justifiable accountability</w:t>
            </w:r>
            <w:r w:rsidR="00481A47">
              <w:rPr>
                <w:rFonts w:cs="Arial"/>
              </w:rPr>
              <w:t xml:space="preserve"> and a </w:t>
            </w:r>
            <w:r w:rsidRPr="00311A7D">
              <w:rPr>
                <w:rFonts w:cs="Arial"/>
              </w:rPr>
              <w:t>zero tolerance for inappropriate blame</w:t>
            </w:r>
            <w:r>
              <w:rPr>
                <w:rFonts w:cs="Arial"/>
              </w:rPr>
              <w:t>.</w:t>
            </w:r>
            <w:r w:rsidR="00006DCE" w:rsidRPr="00EA0233">
              <w:rPr>
                <w:rFonts w:cs="Arial"/>
              </w:rPr>
              <w:t xml:space="preserve"> </w:t>
            </w:r>
            <w:r>
              <w:rPr>
                <w:rFonts w:cs="Arial"/>
              </w:rPr>
              <w:t>T</w:t>
            </w:r>
            <w:r w:rsidR="006B2758">
              <w:rPr>
                <w:rFonts w:cs="Arial"/>
              </w:rPr>
              <w:t>he Incident Decision Tree</w:t>
            </w:r>
            <w:r w:rsidR="006B2758">
              <w:rPr>
                <w:rStyle w:val="FootnoteReference"/>
                <w:rFonts w:cs="Arial"/>
              </w:rPr>
              <w:footnoteReference w:id="28"/>
            </w:r>
            <w:r>
              <w:rPr>
                <w:rFonts w:cs="Arial"/>
              </w:rPr>
              <w:t xml:space="preserve"> should </w:t>
            </w:r>
            <w:r w:rsidRPr="00311A7D">
              <w:rPr>
                <w:rFonts w:cs="Arial"/>
              </w:rPr>
              <w:t>be used to promote fair and consistent staff treatment within and between healthcare organisations</w:t>
            </w:r>
            <w:r>
              <w:rPr>
                <w:rFonts w:cs="Arial"/>
              </w:rPr>
              <w:t>.</w:t>
            </w:r>
          </w:p>
        </w:tc>
      </w:tr>
      <w:tr w:rsidR="005B58F4" w:rsidTr="004B0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rsidR="005B58F4" w:rsidRPr="00EA0233" w:rsidRDefault="00006DCE" w:rsidP="003B1330">
            <w:pPr>
              <w:rPr>
                <w:rFonts w:ascii="Arial" w:hAnsi="Arial" w:cs="Arial"/>
              </w:rPr>
            </w:pPr>
            <w:r w:rsidRPr="00EA0233">
              <w:rPr>
                <w:rFonts w:ascii="Arial" w:hAnsi="Arial" w:cs="Arial"/>
              </w:rPr>
              <w:lastRenderedPageBreak/>
              <w:t>Objective</w:t>
            </w:r>
          </w:p>
        </w:tc>
        <w:tc>
          <w:tcPr>
            <w:tcW w:w="8362" w:type="dxa"/>
          </w:tcPr>
          <w:p w:rsidR="000422F6" w:rsidRDefault="00767B29" w:rsidP="004B0A7F">
            <w:pPr>
              <w:spacing w:before="120"/>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Those involved in the investigation process </w:t>
            </w:r>
            <w:r w:rsidR="001F5B05">
              <w:rPr>
                <w:rFonts w:cs="Arial"/>
              </w:rPr>
              <w:t xml:space="preserve">must not be involved in the direct care of those </w:t>
            </w:r>
            <w:r w:rsidR="00B60729">
              <w:rPr>
                <w:rFonts w:cs="Arial"/>
              </w:rPr>
              <w:t xml:space="preserve">patients affected </w:t>
            </w:r>
            <w:r w:rsidR="001F5B05">
              <w:rPr>
                <w:rFonts w:cs="Arial"/>
              </w:rPr>
              <w:t>nor should they work directly with those involved in the delivery of that care</w:t>
            </w:r>
            <w:r w:rsidR="00703732">
              <w:rPr>
                <w:rFonts w:cs="Arial"/>
              </w:rPr>
              <w:t>. Those w</w:t>
            </w:r>
            <w:r w:rsidR="001F5B05">
              <w:rPr>
                <w:rFonts w:cs="Arial"/>
              </w:rPr>
              <w:t>orking within the same team may have a shared perception of appropriate</w:t>
            </w:r>
            <w:r w:rsidR="00FE0104">
              <w:rPr>
                <w:rFonts w:cs="Arial"/>
              </w:rPr>
              <w:t>/safe</w:t>
            </w:r>
            <w:r w:rsidR="001F5B05">
              <w:rPr>
                <w:rFonts w:cs="Arial"/>
              </w:rPr>
              <w:t xml:space="preserve"> care that is influenced by the culture and environment in which</w:t>
            </w:r>
            <w:r w:rsidR="00FE0104">
              <w:rPr>
                <w:rFonts w:cs="Arial"/>
              </w:rPr>
              <w:t xml:space="preserve"> they work. As a result, they </w:t>
            </w:r>
            <w:r w:rsidR="00703732">
              <w:rPr>
                <w:rFonts w:cs="Arial"/>
              </w:rPr>
              <w:t>may</w:t>
            </w:r>
            <w:r w:rsidR="001F5B05">
              <w:rPr>
                <w:rFonts w:cs="Arial"/>
              </w:rPr>
              <w:t xml:space="preserve"> fail to challenge the </w:t>
            </w:r>
            <w:r w:rsidR="00703732">
              <w:rPr>
                <w:rFonts w:cs="Arial"/>
              </w:rPr>
              <w:t>‘</w:t>
            </w:r>
            <w:r w:rsidR="001F5B05">
              <w:rPr>
                <w:rFonts w:cs="Arial"/>
              </w:rPr>
              <w:t>status quo</w:t>
            </w:r>
            <w:r w:rsidR="00703732">
              <w:rPr>
                <w:rFonts w:cs="Arial"/>
              </w:rPr>
              <w:t>’ which is critical for identifying</w:t>
            </w:r>
            <w:r w:rsidR="00FE0104">
              <w:rPr>
                <w:rFonts w:cs="Arial"/>
              </w:rPr>
              <w:t xml:space="preserve"> system weaknesses and</w:t>
            </w:r>
            <w:r w:rsidR="00703732">
              <w:rPr>
                <w:rFonts w:cs="Arial"/>
              </w:rPr>
              <w:t xml:space="preserve"> </w:t>
            </w:r>
            <w:r w:rsidR="001F5B05">
              <w:rPr>
                <w:rFonts w:cs="Arial"/>
              </w:rPr>
              <w:t>opportunities for learning.</w:t>
            </w:r>
          </w:p>
          <w:p w:rsidR="00311A7D" w:rsidRDefault="00311A7D" w:rsidP="001F5B05">
            <w:pPr>
              <w:cnfStyle w:val="000000100000" w:firstRow="0" w:lastRow="0" w:firstColumn="0" w:lastColumn="0" w:oddVBand="0" w:evenVBand="0" w:oddHBand="1" w:evenHBand="0" w:firstRowFirstColumn="0" w:firstRowLastColumn="0" w:lastRowFirstColumn="0" w:lastRowLastColumn="0"/>
              <w:rPr>
                <w:rFonts w:cs="Arial"/>
              </w:rPr>
            </w:pPr>
          </w:p>
          <w:p w:rsidR="001F5B05" w:rsidRDefault="002E4771" w:rsidP="00FE0104">
            <w:pPr>
              <w:cnfStyle w:val="000000100000" w:firstRow="0" w:lastRow="0" w:firstColumn="0" w:lastColumn="0" w:oddVBand="0" w:evenVBand="0" w:oddHBand="1" w:evenHBand="0" w:firstRowFirstColumn="0" w:firstRowLastColumn="0" w:lastRowFirstColumn="0" w:lastRowLastColumn="0"/>
              <w:rPr>
                <w:rFonts w:cs="Arial"/>
              </w:rPr>
            </w:pPr>
            <w:r>
              <w:rPr>
                <w:rFonts w:cs="Arial"/>
              </w:rPr>
              <w:t>D</w:t>
            </w:r>
            <w:r w:rsidR="00703732">
              <w:rPr>
                <w:rFonts w:cs="Arial"/>
              </w:rPr>
              <w:t xml:space="preserve">emonstrating that an investigation will be undertaken objectively will also help to provide those </w:t>
            </w:r>
            <w:r w:rsidR="00B60729">
              <w:rPr>
                <w:rFonts w:cs="Arial"/>
              </w:rPr>
              <w:t xml:space="preserve">affected </w:t>
            </w:r>
            <w:r w:rsidR="00703732">
              <w:rPr>
                <w:rFonts w:cs="Arial"/>
              </w:rPr>
              <w:t>(</w:t>
            </w:r>
            <w:r w:rsidR="00FE0104">
              <w:rPr>
                <w:rFonts w:cs="Arial"/>
              </w:rPr>
              <w:t>including</w:t>
            </w:r>
            <w:r w:rsidR="00703732">
              <w:rPr>
                <w:rFonts w:cs="Arial"/>
              </w:rPr>
              <w:t xml:space="preserve"> families/carers) with confidence that the findings of the investigation will be robust, meaningful and fairly presented.</w:t>
            </w:r>
          </w:p>
          <w:p w:rsidR="002E4771" w:rsidRDefault="002E4771" w:rsidP="00FE0104">
            <w:pPr>
              <w:cnfStyle w:val="000000100000" w:firstRow="0" w:lastRow="0" w:firstColumn="0" w:lastColumn="0" w:oddVBand="0" w:evenVBand="0" w:oddHBand="1" w:evenHBand="0" w:firstRowFirstColumn="0" w:firstRowLastColumn="0" w:lastRowFirstColumn="0" w:lastRowLastColumn="0"/>
              <w:rPr>
                <w:rFonts w:cs="Arial"/>
              </w:rPr>
            </w:pPr>
          </w:p>
          <w:p w:rsidR="002E4771" w:rsidRPr="00EA0233" w:rsidRDefault="002E4771" w:rsidP="004B0A7F">
            <w:pPr>
              <w:spacing w:after="120"/>
              <w:cnfStyle w:val="000000100000" w:firstRow="0" w:lastRow="0" w:firstColumn="0" w:lastColumn="0" w:oddVBand="0" w:evenVBand="0" w:oddHBand="1" w:evenHBand="0" w:firstRowFirstColumn="0" w:firstRowLastColumn="0" w:lastRowFirstColumn="0" w:lastRowLastColumn="0"/>
              <w:rPr>
                <w:rFonts w:cs="Arial"/>
              </w:rPr>
            </w:pPr>
            <w:r>
              <w:rPr>
                <w:rFonts w:cs="Arial"/>
              </w:rPr>
              <w:t>To fulfil the requirements for an independent investigation, the investigation  must be</w:t>
            </w:r>
            <w:r>
              <w:t xml:space="preserve"> </w:t>
            </w:r>
            <w:r w:rsidRPr="002E4771">
              <w:rPr>
                <w:rFonts w:cs="Arial"/>
              </w:rPr>
              <w:t>both commissioned and undertaken independently of the care that the investigation is considering</w:t>
            </w:r>
            <w:r>
              <w:rPr>
                <w:rFonts w:cs="Arial"/>
              </w:rPr>
              <w:t xml:space="preserve"> </w:t>
            </w:r>
            <w:r w:rsidR="00473F60">
              <w:rPr>
                <w:rFonts w:cs="Arial"/>
              </w:rPr>
              <w:t xml:space="preserve">(see </w:t>
            </w:r>
            <w:r w:rsidR="00FE0FBC">
              <w:rPr>
                <w:rFonts w:cs="Arial"/>
              </w:rPr>
              <w:t>A</w:t>
            </w:r>
            <w:r w:rsidR="00473F60">
              <w:rPr>
                <w:rFonts w:cs="Arial"/>
              </w:rPr>
              <w:t>ppendix</w:t>
            </w:r>
            <w:r w:rsidR="000120C9">
              <w:rPr>
                <w:rFonts w:cs="Arial"/>
              </w:rPr>
              <w:t xml:space="preserve"> </w:t>
            </w:r>
            <w:r w:rsidR="00473F60">
              <w:rPr>
                <w:rFonts w:cs="Arial"/>
              </w:rPr>
              <w:t>3</w:t>
            </w:r>
            <w:r>
              <w:rPr>
                <w:rFonts w:cs="Arial"/>
              </w:rPr>
              <w:t xml:space="preserve">) </w:t>
            </w:r>
          </w:p>
        </w:tc>
      </w:tr>
      <w:tr w:rsidR="005B58F4" w:rsidTr="004B0A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rsidR="005B58F4" w:rsidRPr="00EA0233" w:rsidRDefault="00006DCE" w:rsidP="003B1330">
            <w:pPr>
              <w:rPr>
                <w:rFonts w:ascii="Arial" w:hAnsi="Arial" w:cs="Arial"/>
              </w:rPr>
            </w:pPr>
            <w:r w:rsidRPr="00EA0233">
              <w:rPr>
                <w:rFonts w:ascii="Arial" w:hAnsi="Arial" w:cs="Arial"/>
              </w:rPr>
              <w:t>Timely and responsive</w:t>
            </w:r>
          </w:p>
        </w:tc>
        <w:tc>
          <w:tcPr>
            <w:tcW w:w="8362" w:type="dxa"/>
          </w:tcPr>
          <w:p w:rsidR="00FA2739" w:rsidRDefault="004824F1" w:rsidP="004B0A7F">
            <w:pPr>
              <w:spacing w:before="120"/>
              <w:cnfStyle w:val="000000010000" w:firstRow="0" w:lastRow="0" w:firstColumn="0" w:lastColumn="0" w:oddVBand="0" w:evenVBand="0" w:oddHBand="0" w:evenHBand="1" w:firstRowFirstColumn="0" w:firstRowLastColumn="0" w:lastRowFirstColumn="0" w:lastRowLastColumn="0"/>
              <w:rPr>
                <w:rFonts w:cs="Arial"/>
              </w:rPr>
            </w:pPr>
            <w:r>
              <w:rPr>
                <w:rFonts w:cs="Arial"/>
              </w:rPr>
              <w:t>Serious incidents must</w:t>
            </w:r>
            <w:r w:rsidR="00FA2739">
              <w:rPr>
                <w:rFonts w:cs="Arial"/>
              </w:rPr>
              <w:t xml:space="preserve"> be reported without delay</w:t>
            </w:r>
            <w:r>
              <w:rPr>
                <w:rFonts w:cs="Arial"/>
              </w:rPr>
              <w:t xml:space="preserve"> and no longer than 2 working days after the incident is identified (</w:t>
            </w:r>
            <w:r w:rsidR="00FE0FBC">
              <w:rPr>
                <w:rFonts w:cs="Arial"/>
              </w:rPr>
              <w:t>P</w:t>
            </w:r>
            <w:r>
              <w:rPr>
                <w:rFonts w:cs="Arial"/>
              </w:rPr>
              <w:t xml:space="preserve">art </w:t>
            </w:r>
            <w:r w:rsidR="00FE0FBC">
              <w:rPr>
                <w:rFonts w:cs="Arial"/>
              </w:rPr>
              <w:t>T</w:t>
            </w:r>
            <w:r>
              <w:rPr>
                <w:rFonts w:cs="Arial"/>
              </w:rPr>
              <w:t>hree; section</w:t>
            </w:r>
            <w:r w:rsidR="00BA5DE3">
              <w:rPr>
                <w:rFonts w:cs="Arial"/>
              </w:rPr>
              <w:t xml:space="preserve"> 3</w:t>
            </w:r>
            <w:r w:rsidR="003905C1">
              <w:rPr>
                <w:rFonts w:cs="Arial"/>
              </w:rPr>
              <w:t xml:space="preserve"> </w:t>
            </w:r>
            <w:r w:rsidR="00BA5DE3">
              <w:rPr>
                <w:rFonts w:cs="Arial"/>
              </w:rPr>
              <w:t>outlines</w:t>
            </w:r>
            <w:r>
              <w:rPr>
                <w:rFonts w:cs="Arial"/>
              </w:rPr>
              <w:t xml:space="preserve"> the process for reporting incidents)</w:t>
            </w:r>
            <w:r w:rsidR="003905C1">
              <w:rPr>
                <w:rFonts w:cs="Arial"/>
              </w:rPr>
              <w:t xml:space="preserve">.  </w:t>
            </w:r>
          </w:p>
          <w:p w:rsidR="003905C1" w:rsidRDefault="003905C1" w:rsidP="003B1330">
            <w:pPr>
              <w:cnfStyle w:val="000000010000" w:firstRow="0" w:lastRow="0" w:firstColumn="0" w:lastColumn="0" w:oddVBand="0" w:evenVBand="0" w:oddHBand="0" w:evenHBand="1" w:firstRowFirstColumn="0" w:firstRowLastColumn="0" w:lastRowFirstColumn="0" w:lastRowLastColumn="0"/>
              <w:rPr>
                <w:rFonts w:cs="Arial"/>
              </w:rPr>
            </w:pPr>
          </w:p>
          <w:p w:rsidR="001F5B05" w:rsidRPr="00EA0233" w:rsidRDefault="00FA2739" w:rsidP="004B0A7F">
            <w:pPr>
              <w:spacing w:after="120"/>
              <w:cnfStyle w:val="000000010000" w:firstRow="0" w:lastRow="0" w:firstColumn="0" w:lastColumn="0" w:oddVBand="0" w:evenVBand="0" w:oddHBand="0" w:evenHBand="1" w:firstRowFirstColumn="0" w:firstRowLastColumn="0" w:lastRowFirstColumn="0" w:lastRowLastColumn="0"/>
              <w:rPr>
                <w:rFonts w:cs="Arial"/>
              </w:rPr>
            </w:pPr>
            <w:r>
              <w:rPr>
                <w:rFonts w:cs="Arial"/>
              </w:rPr>
              <w:t>Every case is unique</w:t>
            </w:r>
            <w:r w:rsidR="00FE0FBC">
              <w:rPr>
                <w:rFonts w:cs="Arial"/>
              </w:rPr>
              <w:t>,</w:t>
            </w:r>
            <w:r>
              <w:rPr>
                <w:rFonts w:cs="Arial"/>
              </w:rPr>
              <w:t xml:space="preserve"> including: the people/organisations that need to be involved, how they</w:t>
            </w:r>
            <w:r w:rsidR="00542CE3">
              <w:rPr>
                <w:rFonts w:cs="Arial"/>
              </w:rPr>
              <w:t xml:space="preserve"> should be informed</w:t>
            </w:r>
            <w:r w:rsidR="00FE0104">
              <w:rPr>
                <w:rFonts w:cs="Arial"/>
              </w:rPr>
              <w:t>,</w:t>
            </w:r>
            <w:r w:rsidR="00542CE3">
              <w:rPr>
                <w:rFonts w:cs="Arial"/>
              </w:rPr>
              <w:t xml:space="preserve"> the</w:t>
            </w:r>
            <w:r>
              <w:rPr>
                <w:rFonts w:cs="Arial"/>
              </w:rPr>
              <w:t xml:space="preserve"> requirements/needs to support/facilitate </w:t>
            </w:r>
            <w:r w:rsidR="00542CE3">
              <w:rPr>
                <w:rFonts w:cs="Arial"/>
              </w:rPr>
              <w:t xml:space="preserve">their involvement and </w:t>
            </w:r>
            <w:r>
              <w:rPr>
                <w:rFonts w:cs="Arial"/>
              </w:rPr>
              <w:t>the actions that are required in the immediate, intermediate and long term mana</w:t>
            </w:r>
            <w:r w:rsidR="00542CE3">
              <w:rPr>
                <w:rFonts w:cs="Arial"/>
              </w:rPr>
              <w:t>gement of the case. Those managing serious incidents must be able to recognise and respond appropriately</w:t>
            </w:r>
            <w:r w:rsidR="00FE0104">
              <w:rPr>
                <w:rFonts w:cs="Arial"/>
              </w:rPr>
              <w:t xml:space="preserve"> to the needs of each individual case</w:t>
            </w:r>
            <w:r w:rsidR="00542CE3">
              <w:rPr>
                <w:rFonts w:cs="Arial"/>
              </w:rPr>
              <w:t xml:space="preserve">. </w:t>
            </w:r>
          </w:p>
        </w:tc>
      </w:tr>
      <w:tr w:rsidR="005B58F4" w:rsidTr="004B0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rsidR="005B58F4" w:rsidRPr="00EA0233" w:rsidRDefault="00DF70AD" w:rsidP="00C5560D">
            <w:pPr>
              <w:rPr>
                <w:rFonts w:ascii="Arial" w:hAnsi="Arial" w:cs="Arial"/>
              </w:rPr>
            </w:pPr>
            <w:r>
              <w:rPr>
                <w:rFonts w:ascii="Arial" w:hAnsi="Arial" w:cs="Arial"/>
              </w:rPr>
              <w:t>S</w:t>
            </w:r>
            <w:r w:rsidR="00EA020B">
              <w:rPr>
                <w:rFonts w:ascii="Arial" w:hAnsi="Arial" w:cs="Arial"/>
              </w:rPr>
              <w:t xml:space="preserve">ystems </w:t>
            </w:r>
            <w:r>
              <w:rPr>
                <w:rFonts w:ascii="Arial" w:hAnsi="Arial" w:cs="Arial"/>
              </w:rPr>
              <w:t xml:space="preserve">based </w:t>
            </w:r>
          </w:p>
        </w:tc>
        <w:tc>
          <w:tcPr>
            <w:tcW w:w="8362" w:type="dxa"/>
          </w:tcPr>
          <w:p w:rsidR="005C4044" w:rsidRDefault="00EA020B" w:rsidP="00B23031">
            <w:pPr>
              <w:spacing w:before="120"/>
              <w:cnfStyle w:val="000000100000" w:firstRow="0" w:lastRow="0" w:firstColumn="0" w:lastColumn="0" w:oddVBand="0" w:evenVBand="0" w:oddHBand="1" w:evenHBand="0" w:firstRowFirstColumn="0" w:firstRowLastColumn="0" w:lastRowFirstColumn="0" w:lastRowLastColumn="0"/>
              <w:rPr>
                <w:rFonts w:cs="Arial"/>
              </w:rPr>
            </w:pPr>
            <w:r>
              <w:rPr>
                <w:rFonts w:cs="Arial"/>
              </w:rPr>
              <w:t>The investigation</w:t>
            </w:r>
            <w:r w:rsidR="009D5BF4">
              <w:rPr>
                <w:rFonts w:cs="Arial"/>
              </w:rPr>
              <w:t xml:space="preserve"> must be conducted using a</w:t>
            </w:r>
            <w:r>
              <w:rPr>
                <w:rFonts w:cs="Arial"/>
              </w:rPr>
              <w:t xml:space="preserve"> </w:t>
            </w:r>
            <w:r w:rsidR="00DF03A9">
              <w:rPr>
                <w:rFonts w:cs="Arial"/>
              </w:rPr>
              <w:t>recognised</w:t>
            </w:r>
            <w:r w:rsidR="00FE0104">
              <w:rPr>
                <w:rFonts w:cs="Arial"/>
              </w:rPr>
              <w:t xml:space="preserve"> systems-based </w:t>
            </w:r>
            <w:r w:rsidR="00C5560D">
              <w:rPr>
                <w:rFonts w:cs="Arial"/>
              </w:rPr>
              <w:t xml:space="preserve">investigation </w:t>
            </w:r>
            <w:r w:rsidR="00DF70AD">
              <w:rPr>
                <w:rFonts w:cs="Arial"/>
              </w:rPr>
              <w:t>methodology</w:t>
            </w:r>
            <w:r w:rsidR="009D5BF4">
              <w:rPr>
                <w:rFonts w:cs="Arial"/>
              </w:rPr>
              <w:t xml:space="preserve"> that</w:t>
            </w:r>
            <w:r w:rsidR="001E433F">
              <w:rPr>
                <w:rFonts w:cs="Arial"/>
              </w:rPr>
              <w:t xml:space="preserve"> identifies</w:t>
            </w:r>
            <w:r w:rsidR="00FE0FBC">
              <w:rPr>
                <w:rFonts w:cs="Arial"/>
              </w:rPr>
              <w:t>:</w:t>
            </w:r>
          </w:p>
          <w:p w:rsidR="00357B92" w:rsidRDefault="00357B92" w:rsidP="009D5BF4">
            <w:pPr>
              <w:cnfStyle w:val="000000100000" w:firstRow="0" w:lastRow="0" w:firstColumn="0" w:lastColumn="0" w:oddVBand="0" w:evenVBand="0" w:oddHBand="1" w:evenHBand="0" w:firstRowFirstColumn="0" w:firstRowLastColumn="0" w:lastRowFirstColumn="0" w:lastRowLastColumn="0"/>
              <w:rPr>
                <w:rFonts w:cs="Arial"/>
              </w:rPr>
            </w:pPr>
          </w:p>
          <w:p w:rsidR="005C4044" w:rsidRDefault="00FE0FBC" w:rsidP="002F11B3">
            <w:pPr>
              <w:pStyle w:val="ListParagraph"/>
              <w:numPr>
                <w:ilvl w:val="1"/>
                <w:numId w:val="2"/>
              </w:numPr>
              <w:cnfStyle w:val="000000100000" w:firstRow="0" w:lastRow="0" w:firstColumn="0" w:lastColumn="0" w:oddVBand="0" w:evenVBand="0" w:oddHBand="1" w:evenHBand="0" w:firstRowFirstColumn="0" w:firstRowLastColumn="0" w:lastRowFirstColumn="0" w:lastRowLastColumn="0"/>
              <w:rPr>
                <w:rFonts w:cs="Arial"/>
              </w:rPr>
            </w:pPr>
            <w:r>
              <w:rPr>
                <w:rFonts w:cs="Arial"/>
              </w:rPr>
              <w:t>T</w:t>
            </w:r>
            <w:r w:rsidR="001E433F" w:rsidRPr="005C4044">
              <w:rPr>
                <w:rFonts w:cs="Arial"/>
              </w:rPr>
              <w:t>he problems (the what?)</w:t>
            </w:r>
            <w:r w:rsidR="005C4044">
              <w:rPr>
                <w:rFonts w:cs="Arial"/>
              </w:rPr>
              <w:t>;</w:t>
            </w:r>
            <w:r w:rsidR="001E433F" w:rsidRPr="005C4044">
              <w:rPr>
                <w:rFonts w:cs="Arial"/>
              </w:rPr>
              <w:t xml:space="preserve"> </w:t>
            </w:r>
          </w:p>
          <w:p w:rsidR="005C4044" w:rsidRDefault="00FE0FBC" w:rsidP="002F11B3">
            <w:pPr>
              <w:pStyle w:val="ListParagraph"/>
              <w:numPr>
                <w:ilvl w:val="1"/>
                <w:numId w:val="2"/>
              </w:numPr>
              <w:cnfStyle w:val="000000100000" w:firstRow="0" w:lastRow="0" w:firstColumn="0" w:lastColumn="0" w:oddVBand="0" w:evenVBand="0" w:oddHBand="1" w:evenHBand="0" w:firstRowFirstColumn="0" w:firstRowLastColumn="0" w:lastRowFirstColumn="0" w:lastRowLastColumn="0"/>
              <w:rPr>
                <w:rFonts w:cs="Arial"/>
              </w:rPr>
            </w:pPr>
            <w:r>
              <w:rPr>
                <w:rFonts w:cs="Arial"/>
              </w:rPr>
              <w:t>T</w:t>
            </w:r>
            <w:r w:rsidR="001E433F" w:rsidRPr="005C4044">
              <w:rPr>
                <w:rFonts w:cs="Arial"/>
              </w:rPr>
              <w:t>he contributory factors that led to the problems (the how?)</w:t>
            </w:r>
            <w:r w:rsidR="005C4044">
              <w:rPr>
                <w:rFonts w:cs="Arial"/>
              </w:rPr>
              <w:t xml:space="preserve"> taking into account the environmental and human factors; </w:t>
            </w:r>
            <w:r w:rsidR="001E433F" w:rsidRPr="005C4044">
              <w:rPr>
                <w:rFonts w:cs="Arial"/>
              </w:rPr>
              <w:t xml:space="preserve">and </w:t>
            </w:r>
          </w:p>
          <w:p w:rsidR="005C4044" w:rsidRDefault="00FE0FBC" w:rsidP="002F11B3">
            <w:pPr>
              <w:pStyle w:val="ListParagraph"/>
              <w:numPr>
                <w:ilvl w:val="1"/>
                <w:numId w:val="2"/>
              </w:numPr>
              <w:cnfStyle w:val="000000100000" w:firstRow="0" w:lastRow="0" w:firstColumn="0" w:lastColumn="0" w:oddVBand="0" w:evenVBand="0" w:oddHBand="1" w:evenHBand="0" w:firstRowFirstColumn="0" w:firstRowLastColumn="0" w:lastRowFirstColumn="0" w:lastRowLastColumn="0"/>
              <w:rPr>
                <w:rFonts w:cs="Arial"/>
              </w:rPr>
            </w:pPr>
            <w:r>
              <w:rPr>
                <w:rFonts w:cs="Arial"/>
              </w:rPr>
              <w:t>T</w:t>
            </w:r>
            <w:r w:rsidR="001E433F" w:rsidRPr="005C4044">
              <w:rPr>
                <w:rFonts w:cs="Arial"/>
              </w:rPr>
              <w:t>he fundamental issues/root cause (the why?) that need to be addressed.</w:t>
            </w:r>
          </w:p>
          <w:p w:rsidR="00357B92" w:rsidRDefault="00357B92" w:rsidP="00357B92">
            <w:pPr>
              <w:pStyle w:val="ListParagraph"/>
              <w:ind w:left="1080"/>
              <w:cnfStyle w:val="000000100000" w:firstRow="0" w:lastRow="0" w:firstColumn="0" w:lastColumn="0" w:oddVBand="0" w:evenVBand="0" w:oddHBand="1" w:evenHBand="0" w:firstRowFirstColumn="0" w:firstRowLastColumn="0" w:lastRowFirstColumn="0" w:lastRowLastColumn="0"/>
              <w:rPr>
                <w:rFonts w:cs="Arial"/>
              </w:rPr>
            </w:pPr>
          </w:p>
          <w:p w:rsidR="001F5B05" w:rsidRPr="00EA0233" w:rsidRDefault="005C4044" w:rsidP="00B23031">
            <w:pPr>
              <w:spacing w:after="120"/>
              <w:cnfStyle w:val="000000100000" w:firstRow="0" w:lastRow="0" w:firstColumn="0" w:lastColumn="0" w:oddVBand="0" w:evenVBand="0" w:oddHBand="1" w:evenHBand="0" w:firstRowFirstColumn="0" w:firstRowLastColumn="0" w:lastRowFirstColumn="0" w:lastRowLastColumn="0"/>
              <w:rPr>
                <w:rFonts w:cs="Arial"/>
              </w:rPr>
            </w:pPr>
            <w:r>
              <w:rPr>
                <w:rFonts w:cs="Arial"/>
              </w:rPr>
              <w:t>W</w:t>
            </w:r>
            <w:r w:rsidR="002E4771" w:rsidRPr="005C4044">
              <w:rPr>
                <w:rFonts w:cs="Arial"/>
              </w:rPr>
              <w:t>ithin</w:t>
            </w:r>
            <w:r w:rsidR="00EA020B" w:rsidRPr="005C4044">
              <w:rPr>
                <w:rFonts w:cs="Arial"/>
              </w:rPr>
              <w:t xml:space="preserve"> the NHS</w:t>
            </w:r>
            <w:r w:rsidR="00DF70AD" w:rsidRPr="005C4044">
              <w:rPr>
                <w:rFonts w:cs="Arial"/>
              </w:rPr>
              <w:t xml:space="preserve">, the recognised approach is </w:t>
            </w:r>
            <w:r w:rsidR="001E433F" w:rsidRPr="005C4044">
              <w:rPr>
                <w:rFonts w:cs="Arial"/>
              </w:rPr>
              <w:t>commonly termed</w:t>
            </w:r>
            <w:r w:rsidR="00EA020B" w:rsidRPr="005C4044">
              <w:rPr>
                <w:rFonts w:cs="Arial"/>
              </w:rPr>
              <w:t xml:space="preserve"> </w:t>
            </w:r>
            <w:r w:rsidR="00FE0104" w:rsidRPr="005C4044">
              <w:rPr>
                <w:rFonts w:cs="Arial"/>
              </w:rPr>
              <w:t>Ro</w:t>
            </w:r>
            <w:r w:rsidR="007D0846" w:rsidRPr="005C4044">
              <w:rPr>
                <w:rFonts w:cs="Arial"/>
              </w:rPr>
              <w:t>ot Cause Analysis (RCA)</w:t>
            </w:r>
            <w:r w:rsidR="00DF70AD" w:rsidRPr="005C4044">
              <w:rPr>
                <w:rFonts w:cs="Arial"/>
              </w:rPr>
              <w:t xml:space="preserve"> investigation</w:t>
            </w:r>
            <w:r w:rsidR="00FE0FBC">
              <w:rPr>
                <w:rFonts w:cs="Arial"/>
              </w:rPr>
              <w:t>.</w:t>
            </w:r>
            <w:r w:rsidR="002938D0">
              <w:rPr>
                <w:rStyle w:val="FootnoteReference"/>
                <w:rFonts w:cs="Arial"/>
              </w:rPr>
              <w:footnoteReference w:id="29"/>
            </w:r>
            <w:r w:rsidR="009D5BF4" w:rsidRPr="005C4044">
              <w:rPr>
                <w:rFonts w:cs="Arial"/>
              </w:rPr>
              <w:t xml:space="preserve"> The investigation must be undertaken by those with appropriate skills, training and capacity. </w:t>
            </w:r>
          </w:p>
        </w:tc>
      </w:tr>
      <w:tr w:rsidR="005B58F4" w:rsidTr="004B0A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rsidR="005B58F4" w:rsidRPr="00EA0233" w:rsidRDefault="00006DCE" w:rsidP="003B1330">
            <w:pPr>
              <w:rPr>
                <w:rFonts w:ascii="Arial" w:hAnsi="Arial" w:cs="Arial"/>
              </w:rPr>
            </w:pPr>
            <w:r w:rsidRPr="00EA0233">
              <w:rPr>
                <w:rFonts w:ascii="Arial" w:hAnsi="Arial" w:cs="Arial"/>
              </w:rPr>
              <w:t>Proportionate</w:t>
            </w:r>
          </w:p>
        </w:tc>
        <w:tc>
          <w:tcPr>
            <w:tcW w:w="8362" w:type="dxa"/>
          </w:tcPr>
          <w:p w:rsidR="001E433F" w:rsidRDefault="00EA0233" w:rsidP="00B23031">
            <w:pPr>
              <w:spacing w:before="120"/>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The </w:t>
            </w:r>
            <w:r w:rsidR="00A71D19" w:rsidRPr="00EA0233">
              <w:rPr>
                <w:rFonts w:cs="Arial"/>
              </w:rPr>
              <w:t xml:space="preserve">scale and scope </w:t>
            </w:r>
            <w:r w:rsidR="001E433F">
              <w:rPr>
                <w:rFonts w:cs="Arial"/>
              </w:rPr>
              <w:t xml:space="preserve">of the investigation </w:t>
            </w:r>
            <w:r w:rsidR="00A71D19" w:rsidRPr="00EA0233">
              <w:rPr>
                <w:rFonts w:cs="Arial"/>
              </w:rPr>
              <w:t xml:space="preserve">should be </w:t>
            </w:r>
            <w:r w:rsidRPr="00EA0233">
              <w:rPr>
                <w:rFonts w:cs="Arial"/>
              </w:rPr>
              <w:t>proportionate</w:t>
            </w:r>
            <w:r w:rsidR="00A71D19" w:rsidRPr="00EA0233">
              <w:rPr>
                <w:rFonts w:cs="Arial"/>
              </w:rPr>
              <w:t xml:space="preserve"> to the incident to ensure resources are effectively used</w:t>
            </w:r>
            <w:r w:rsidR="00FB565D">
              <w:rPr>
                <w:rFonts w:cs="Arial"/>
              </w:rPr>
              <w:t xml:space="preserve">. </w:t>
            </w:r>
            <w:r w:rsidR="001E433F">
              <w:rPr>
                <w:rFonts w:cs="Arial"/>
              </w:rPr>
              <w:t xml:space="preserve">Incidents which indicate </w:t>
            </w:r>
            <w:r w:rsidR="005C4044">
              <w:rPr>
                <w:rFonts w:cs="Arial"/>
              </w:rPr>
              <w:t xml:space="preserve">the most </w:t>
            </w:r>
            <w:r w:rsidR="001E433F">
              <w:rPr>
                <w:rFonts w:cs="Arial"/>
              </w:rPr>
              <w:t xml:space="preserve">significant </w:t>
            </w:r>
            <w:r w:rsidR="005C4044">
              <w:rPr>
                <w:rFonts w:cs="Arial"/>
              </w:rPr>
              <w:t xml:space="preserve">need for </w:t>
            </w:r>
            <w:r w:rsidR="001E433F">
              <w:rPr>
                <w:rFonts w:cs="Arial"/>
              </w:rPr>
              <w:t xml:space="preserve">learning </w:t>
            </w:r>
            <w:r w:rsidR="005C4044">
              <w:rPr>
                <w:rFonts w:cs="Arial"/>
              </w:rPr>
              <w:t xml:space="preserve">to prevent serious harm should be prioritised. </w:t>
            </w:r>
            <w:r w:rsidR="001E433F">
              <w:rPr>
                <w:rFonts w:cs="Arial"/>
              </w:rPr>
              <w:t>Determining incidents which require a full investigation is an important part of the process</w:t>
            </w:r>
            <w:r w:rsidR="005C4044">
              <w:rPr>
                <w:rFonts w:cs="Arial"/>
              </w:rPr>
              <w:t xml:space="preserve"> (see </w:t>
            </w:r>
            <w:r w:rsidR="00FE0FBC">
              <w:rPr>
                <w:rFonts w:cs="Arial"/>
              </w:rPr>
              <w:t>P</w:t>
            </w:r>
            <w:r w:rsidR="005C4044">
              <w:rPr>
                <w:rFonts w:cs="Arial"/>
              </w:rPr>
              <w:t xml:space="preserve">art </w:t>
            </w:r>
            <w:r w:rsidR="00FE0FBC">
              <w:rPr>
                <w:rFonts w:cs="Arial"/>
              </w:rPr>
              <w:t>O</w:t>
            </w:r>
            <w:r w:rsidR="005C4044">
              <w:rPr>
                <w:rFonts w:cs="Arial"/>
              </w:rPr>
              <w:t>ne; section 1.1)</w:t>
            </w:r>
            <w:r w:rsidR="0065789B">
              <w:rPr>
                <w:rFonts w:cs="Arial"/>
              </w:rPr>
              <w:t xml:space="preserve"> and ensure</w:t>
            </w:r>
            <w:r w:rsidR="000C6396">
              <w:rPr>
                <w:rFonts w:cs="Arial"/>
              </w:rPr>
              <w:t>s</w:t>
            </w:r>
            <w:r w:rsidR="0065789B">
              <w:rPr>
                <w:rFonts w:cs="Arial"/>
              </w:rPr>
              <w:t xml:space="preserve"> that organisations are focusing resources in an appropriate way </w:t>
            </w:r>
          </w:p>
          <w:p w:rsidR="001E433F" w:rsidRDefault="001E433F" w:rsidP="003B1330">
            <w:pPr>
              <w:cnfStyle w:val="000000010000" w:firstRow="0" w:lastRow="0" w:firstColumn="0" w:lastColumn="0" w:oddVBand="0" w:evenVBand="0" w:oddHBand="0" w:evenHBand="1" w:firstRowFirstColumn="0" w:firstRowLastColumn="0" w:lastRowFirstColumn="0" w:lastRowLastColumn="0"/>
              <w:rPr>
                <w:rFonts w:cs="Arial"/>
              </w:rPr>
            </w:pPr>
          </w:p>
          <w:p w:rsidR="001E433F" w:rsidRPr="00EA0233" w:rsidRDefault="00FB565D" w:rsidP="00FE0FBC">
            <w:pPr>
              <w:spacing w:after="120"/>
              <w:cnfStyle w:val="000000010000" w:firstRow="0" w:lastRow="0" w:firstColumn="0" w:lastColumn="0" w:oddVBand="0" w:evenVBand="0" w:oddHBand="0" w:evenHBand="1" w:firstRowFirstColumn="0" w:firstRowLastColumn="0" w:lastRowFirstColumn="0" w:lastRowLastColumn="0"/>
              <w:rPr>
                <w:rFonts w:cs="Arial"/>
              </w:rPr>
            </w:pPr>
            <w:r>
              <w:rPr>
                <w:rFonts w:cs="Arial"/>
              </w:rPr>
              <w:t>Typically</w:t>
            </w:r>
            <w:r w:rsidR="000B135C">
              <w:rPr>
                <w:rFonts w:cs="Arial"/>
              </w:rPr>
              <w:t>,</w:t>
            </w:r>
            <w:r>
              <w:rPr>
                <w:rFonts w:cs="Arial"/>
              </w:rPr>
              <w:t xml:space="preserve"> serious incidents</w:t>
            </w:r>
            <w:r w:rsidR="000B135C">
              <w:rPr>
                <w:rFonts w:cs="Arial"/>
              </w:rPr>
              <w:t xml:space="preserve"> </w:t>
            </w:r>
            <w:r>
              <w:rPr>
                <w:rFonts w:cs="Arial"/>
              </w:rPr>
              <w:t>require a comprehensive investigation</w:t>
            </w:r>
            <w:r w:rsidR="00FE0FBC">
              <w:rPr>
                <w:rFonts w:cs="Arial"/>
              </w:rPr>
              <w:t>,</w:t>
            </w:r>
            <w:r>
              <w:rPr>
                <w:rFonts w:cs="Arial"/>
              </w:rPr>
              <w:t xml:space="preserve"> but the scale </w:t>
            </w:r>
            <w:r w:rsidR="005E1C2F">
              <w:rPr>
                <w:rFonts w:cs="Arial"/>
              </w:rPr>
              <w:t xml:space="preserve">and </w:t>
            </w:r>
            <w:r>
              <w:rPr>
                <w:rFonts w:cs="Arial"/>
              </w:rPr>
              <w:t>scope (and required resources) should be considered on a case by</w:t>
            </w:r>
            <w:r w:rsidR="00FE0FBC">
              <w:rPr>
                <w:rFonts w:cs="Arial"/>
              </w:rPr>
              <w:t>-</w:t>
            </w:r>
            <w:r>
              <w:rPr>
                <w:rFonts w:cs="Arial"/>
              </w:rPr>
              <w:t>case</w:t>
            </w:r>
            <w:r w:rsidR="00FE0FBC">
              <w:rPr>
                <w:rFonts w:cs="Arial"/>
              </w:rPr>
              <w:t>-</w:t>
            </w:r>
            <w:r>
              <w:rPr>
                <w:rFonts w:cs="Arial"/>
              </w:rPr>
              <w:t>basis.</w:t>
            </w:r>
            <w:r w:rsidR="00753758">
              <w:rPr>
                <w:rFonts w:cs="Arial"/>
              </w:rPr>
              <w:t xml:space="preserve"> </w:t>
            </w:r>
            <w:r>
              <w:rPr>
                <w:rFonts w:cs="Arial"/>
              </w:rPr>
              <w:t>Some incidents may be managed by an individual (with support from other</w:t>
            </w:r>
            <w:r w:rsidR="00DF70AD">
              <w:rPr>
                <w:rFonts w:cs="Arial"/>
              </w:rPr>
              <w:t>s</w:t>
            </w:r>
            <w:r>
              <w:rPr>
                <w:rFonts w:cs="Arial"/>
              </w:rPr>
              <w:t xml:space="preserve"> as required) whereas others will require a team effort and this may include members from various organisations</w:t>
            </w:r>
            <w:r w:rsidR="005C4044">
              <w:rPr>
                <w:rFonts w:cs="Arial"/>
              </w:rPr>
              <w:t xml:space="preserve"> and/or experts in certain fields</w:t>
            </w:r>
            <w:r>
              <w:rPr>
                <w:rFonts w:cs="Arial"/>
              </w:rPr>
              <w:t>.</w:t>
            </w:r>
            <w:r w:rsidR="00085567">
              <w:rPr>
                <w:rFonts w:cs="Arial"/>
              </w:rPr>
              <w:t xml:space="preserve"> </w:t>
            </w:r>
            <w:r w:rsidR="001E433F">
              <w:rPr>
                <w:rFonts w:cs="Arial"/>
              </w:rPr>
              <w:t>I</w:t>
            </w:r>
            <w:r w:rsidR="00FA2739">
              <w:rPr>
                <w:rFonts w:cs="Arial"/>
              </w:rPr>
              <w:t xml:space="preserve">n many cases an internally managed investigation can fulfil the requirements </w:t>
            </w:r>
            <w:r w:rsidR="000C6396">
              <w:rPr>
                <w:rFonts w:cs="Arial"/>
              </w:rPr>
              <w:t>for an effective investigation.</w:t>
            </w:r>
            <w:r w:rsidR="000B135C">
              <w:rPr>
                <w:rFonts w:cs="Arial"/>
              </w:rPr>
              <w:t xml:space="preserve"> </w:t>
            </w:r>
            <w:r w:rsidR="000C6396">
              <w:rPr>
                <w:rFonts w:cs="Arial"/>
              </w:rPr>
              <w:t>I</w:t>
            </w:r>
            <w:r w:rsidR="00FA2739">
              <w:rPr>
                <w:rFonts w:cs="Arial"/>
              </w:rPr>
              <w:t xml:space="preserve">n </w:t>
            </w:r>
            <w:r w:rsidR="0065789B">
              <w:rPr>
                <w:rFonts w:cs="Arial"/>
              </w:rPr>
              <w:t>some</w:t>
            </w:r>
            <w:r w:rsidR="00FA2739">
              <w:rPr>
                <w:rFonts w:cs="Arial"/>
              </w:rPr>
              <w:t xml:space="preserve"> </w:t>
            </w:r>
            <w:r w:rsidR="0065789B">
              <w:rPr>
                <w:rFonts w:cs="Arial"/>
              </w:rPr>
              <w:t>circumstances (e.g.</w:t>
            </w:r>
            <w:r w:rsidR="00FA2739">
              <w:rPr>
                <w:rFonts w:cs="Arial"/>
              </w:rPr>
              <w:t xml:space="preserve"> very complex or catastrophic</w:t>
            </w:r>
            <w:r w:rsidR="0065789B">
              <w:rPr>
                <w:rFonts w:cs="Arial"/>
              </w:rPr>
              <w:t xml:space="preserve"> incidents spanning multiple organisations </w:t>
            </w:r>
            <w:r w:rsidR="000B135C">
              <w:rPr>
                <w:rFonts w:cs="Arial"/>
              </w:rPr>
              <w:t xml:space="preserve">and/or </w:t>
            </w:r>
            <w:r w:rsidR="0065789B">
              <w:rPr>
                <w:rFonts w:cs="Arial"/>
              </w:rPr>
              <w:t>where the integrity of the investigation would be challenged/</w:t>
            </w:r>
            <w:r w:rsidR="000B135C">
              <w:rPr>
                <w:rFonts w:cs="Arial"/>
              </w:rPr>
              <w:t xml:space="preserve"> </w:t>
            </w:r>
            <w:r w:rsidR="0065789B">
              <w:rPr>
                <w:rFonts w:cs="Arial"/>
              </w:rPr>
              <w:t>undermined if managed internally</w:t>
            </w:r>
            <w:r w:rsidR="00FA2739">
              <w:rPr>
                <w:rFonts w:cs="Arial"/>
              </w:rPr>
              <w:t>) an independent investigation may be required</w:t>
            </w:r>
            <w:r w:rsidR="0065789B">
              <w:rPr>
                <w:rFonts w:cs="Arial"/>
              </w:rPr>
              <w:t xml:space="preserve"> (see </w:t>
            </w:r>
            <w:r w:rsidR="00FE0FBC">
              <w:rPr>
                <w:rFonts w:cs="Arial"/>
              </w:rPr>
              <w:t>A</w:t>
            </w:r>
            <w:r w:rsidR="0065789B">
              <w:rPr>
                <w:rFonts w:cs="Arial"/>
              </w:rPr>
              <w:t>ppendix</w:t>
            </w:r>
            <w:r w:rsidR="000C6396">
              <w:rPr>
                <w:rFonts w:cs="Arial"/>
              </w:rPr>
              <w:t xml:space="preserve"> 3</w:t>
            </w:r>
            <w:r w:rsidR="0065789B">
              <w:rPr>
                <w:rFonts w:cs="Arial"/>
              </w:rPr>
              <w:t xml:space="preserve"> for further details)</w:t>
            </w:r>
            <w:r w:rsidR="00FA2739">
              <w:rPr>
                <w:rFonts w:cs="Arial"/>
              </w:rPr>
              <w:t xml:space="preserve">. </w:t>
            </w:r>
            <w:r w:rsidR="00085567" w:rsidRPr="00085567">
              <w:rPr>
                <w:rFonts w:cs="Arial"/>
              </w:rPr>
              <w:t xml:space="preserve">In </w:t>
            </w:r>
            <w:r w:rsidR="0065789B">
              <w:rPr>
                <w:rFonts w:cs="Arial"/>
              </w:rPr>
              <w:t>exceptional</w:t>
            </w:r>
            <w:r w:rsidR="00085567" w:rsidRPr="00085567">
              <w:rPr>
                <w:rFonts w:cs="Arial"/>
              </w:rPr>
              <w:t xml:space="preserve"> circumstances</w:t>
            </w:r>
            <w:r w:rsidR="00085567">
              <w:rPr>
                <w:rFonts w:cs="Arial"/>
              </w:rPr>
              <w:t xml:space="preserve"> </w:t>
            </w:r>
            <w:r w:rsidR="00085567" w:rsidRPr="00085567">
              <w:rPr>
                <w:rFonts w:cs="Arial"/>
              </w:rPr>
              <w:t>a regional or central</w:t>
            </w:r>
            <w:r w:rsidR="00311A7D">
              <w:rPr>
                <w:rFonts w:cs="Arial"/>
              </w:rPr>
              <w:t>ly</w:t>
            </w:r>
            <w:r w:rsidR="000B135C">
              <w:rPr>
                <w:rFonts w:cs="Arial"/>
              </w:rPr>
              <w:t>-</w:t>
            </w:r>
            <w:r w:rsidR="00311A7D">
              <w:rPr>
                <w:rFonts w:cs="Arial"/>
              </w:rPr>
              <w:t>led</w:t>
            </w:r>
            <w:r w:rsidR="00085567" w:rsidRPr="00085567">
              <w:rPr>
                <w:rFonts w:cs="Arial"/>
              </w:rPr>
              <w:t xml:space="preserve"> response may be required</w:t>
            </w:r>
            <w:r w:rsidR="00BA5DE3">
              <w:rPr>
                <w:rFonts w:cs="Arial"/>
              </w:rPr>
              <w:t xml:space="preserve"> (see </w:t>
            </w:r>
            <w:r w:rsidR="00FE0FBC">
              <w:rPr>
                <w:rFonts w:cs="Arial"/>
              </w:rPr>
              <w:t>P</w:t>
            </w:r>
            <w:r w:rsidR="00BA5DE3">
              <w:rPr>
                <w:rFonts w:cs="Arial"/>
              </w:rPr>
              <w:t xml:space="preserve">art </w:t>
            </w:r>
            <w:r w:rsidR="00FE0FBC">
              <w:rPr>
                <w:rFonts w:cs="Arial"/>
              </w:rPr>
              <w:t>T</w:t>
            </w:r>
            <w:r w:rsidR="00BA5DE3">
              <w:rPr>
                <w:rFonts w:cs="Arial"/>
              </w:rPr>
              <w:t>hree</w:t>
            </w:r>
            <w:r w:rsidR="00FE0FBC">
              <w:rPr>
                <w:rFonts w:cs="Arial"/>
              </w:rPr>
              <w:t>,</w:t>
            </w:r>
            <w:r w:rsidR="00BA5DE3">
              <w:rPr>
                <w:rFonts w:cs="Arial"/>
              </w:rPr>
              <w:t xml:space="preserve"> </w:t>
            </w:r>
            <w:r w:rsidR="004B0A7F">
              <w:rPr>
                <w:rFonts w:cs="Arial"/>
              </w:rPr>
              <w:t>section 3.2</w:t>
            </w:r>
            <w:r w:rsidR="005C4044">
              <w:rPr>
                <w:rFonts w:cs="Arial"/>
              </w:rPr>
              <w:t>)</w:t>
            </w:r>
            <w:r w:rsidR="00085567">
              <w:rPr>
                <w:rFonts w:cs="Arial"/>
              </w:rPr>
              <w:t>.</w:t>
            </w:r>
          </w:p>
        </w:tc>
      </w:tr>
      <w:tr w:rsidR="00006DCE" w:rsidTr="004B0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rsidR="00006DCE" w:rsidRPr="00EA0233" w:rsidRDefault="00006DCE" w:rsidP="003B1330">
            <w:pPr>
              <w:rPr>
                <w:rFonts w:ascii="Arial" w:hAnsi="Arial" w:cs="Arial"/>
              </w:rPr>
            </w:pPr>
            <w:r w:rsidRPr="00EA0233">
              <w:rPr>
                <w:rFonts w:ascii="Arial" w:hAnsi="Arial" w:cs="Arial"/>
              </w:rPr>
              <w:lastRenderedPageBreak/>
              <w:t>Collaborative</w:t>
            </w:r>
          </w:p>
        </w:tc>
        <w:tc>
          <w:tcPr>
            <w:tcW w:w="8362" w:type="dxa"/>
          </w:tcPr>
          <w:p w:rsidR="000C6396" w:rsidRDefault="00D53624" w:rsidP="00B23031">
            <w:pPr>
              <w:spacing w:before="120"/>
              <w:cnfStyle w:val="000000100000" w:firstRow="0" w:lastRow="0" w:firstColumn="0" w:lastColumn="0" w:oddVBand="0" w:evenVBand="0" w:oddHBand="1" w:evenHBand="0" w:firstRowFirstColumn="0" w:firstRowLastColumn="0" w:lastRowFirstColumn="0" w:lastRowLastColumn="0"/>
              <w:rPr>
                <w:rFonts w:cs="Arial"/>
              </w:rPr>
            </w:pPr>
            <w:r>
              <w:rPr>
                <w:rFonts w:cs="Arial"/>
              </w:rPr>
              <w:t>Serious incidents often involve several organisations</w:t>
            </w:r>
            <w:r w:rsidR="00CC1F05">
              <w:rPr>
                <w:rFonts w:cs="Arial"/>
              </w:rPr>
              <w:t xml:space="preserve">. </w:t>
            </w:r>
            <w:r>
              <w:rPr>
                <w:rFonts w:cs="Arial"/>
              </w:rPr>
              <w:t>O</w:t>
            </w:r>
            <w:r w:rsidR="00A71D19" w:rsidRPr="00EA0233">
              <w:rPr>
                <w:rFonts w:cs="Arial"/>
              </w:rPr>
              <w:t>rganisations must work in partnership to</w:t>
            </w:r>
            <w:r w:rsidR="00CC1F05">
              <w:rPr>
                <w:rFonts w:cs="Arial"/>
              </w:rPr>
              <w:t xml:space="preserve"> ensure incidents are effectively managed</w:t>
            </w:r>
            <w:r>
              <w:rPr>
                <w:rFonts w:cs="Arial"/>
              </w:rPr>
              <w:t xml:space="preserve">. </w:t>
            </w:r>
          </w:p>
          <w:p w:rsidR="000B135C" w:rsidRDefault="000B135C" w:rsidP="000B135C">
            <w:pPr>
              <w:cnfStyle w:val="000000100000" w:firstRow="0" w:lastRow="0" w:firstColumn="0" w:lastColumn="0" w:oddVBand="0" w:evenVBand="0" w:oddHBand="1" w:evenHBand="0" w:firstRowFirstColumn="0" w:firstRowLastColumn="0" w:lastRowFirstColumn="0" w:lastRowLastColumn="0"/>
              <w:rPr>
                <w:rFonts w:cs="Arial"/>
              </w:rPr>
            </w:pPr>
          </w:p>
          <w:p w:rsidR="0028249B" w:rsidRPr="00EA0233" w:rsidRDefault="00D53624" w:rsidP="00B23031">
            <w:pPr>
              <w:spacing w:after="120"/>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There must be clear arrangements in place relating to the roles and responsibilities </w:t>
            </w:r>
            <w:r w:rsidR="00EC63D0">
              <w:rPr>
                <w:rFonts w:cs="Arial"/>
              </w:rPr>
              <w:t xml:space="preserve">of those involved (see </w:t>
            </w:r>
            <w:r w:rsidR="00FE0FBC">
              <w:rPr>
                <w:rFonts w:cs="Arial"/>
              </w:rPr>
              <w:t>P</w:t>
            </w:r>
            <w:r w:rsidR="005C4044">
              <w:rPr>
                <w:rFonts w:cs="Arial"/>
              </w:rPr>
              <w:t xml:space="preserve">art </w:t>
            </w:r>
            <w:r w:rsidR="00FE0FBC">
              <w:rPr>
                <w:rFonts w:cs="Arial"/>
              </w:rPr>
              <w:t>T</w:t>
            </w:r>
            <w:r w:rsidR="005C4044">
              <w:rPr>
                <w:rFonts w:cs="Arial"/>
              </w:rPr>
              <w:t>wo</w:t>
            </w:r>
            <w:r w:rsidR="00FE0FBC">
              <w:rPr>
                <w:rFonts w:cs="Arial"/>
              </w:rPr>
              <w:t>,</w:t>
            </w:r>
            <w:r w:rsidR="005C4044">
              <w:rPr>
                <w:rFonts w:cs="Arial"/>
              </w:rPr>
              <w:t xml:space="preserve"> </w:t>
            </w:r>
            <w:r w:rsidR="00EC63D0">
              <w:rPr>
                <w:rFonts w:cs="Arial"/>
              </w:rPr>
              <w:t>section</w:t>
            </w:r>
            <w:r w:rsidR="003B3952">
              <w:rPr>
                <w:rFonts w:cs="Arial"/>
              </w:rPr>
              <w:t xml:space="preserve"> </w:t>
            </w:r>
            <w:r w:rsidR="000C6396">
              <w:rPr>
                <w:rFonts w:cs="Arial"/>
              </w:rPr>
              <w:t>2</w:t>
            </w:r>
            <w:r w:rsidR="00C92124">
              <w:rPr>
                <w:rFonts w:cs="Arial"/>
              </w:rPr>
              <w:t xml:space="preserve"> </w:t>
            </w:r>
            <w:r w:rsidR="000C6396">
              <w:rPr>
                <w:rFonts w:cs="Arial"/>
              </w:rPr>
              <w:t>and 3 below</w:t>
            </w:r>
            <w:r>
              <w:rPr>
                <w:rFonts w:cs="Arial"/>
              </w:rPr>
              <w:t xml:space="preserve">). Wherever possible partners should work collaboratively to avoid duplication and confusion. </w:t>
            </w:r>
            <w:r w:rsidR="00EC63D0">
              <w:rPr>
                <w:rFonts w:cs="Arial"/>
              </w:rPr>
              <w:t>There should</w:t>
            </w:r>
            <w:r w:rsidR="00CC1F05" w:rsidRPr="00CC1F05">
              <w:rPr>
                <w:rFonts w:cs="Arial"/>
              </w:rPr>
              <w:t xml:space="preserve"> be a shared understanding of how the incident will be managed and investigated</w:t>
            </w:r>
            <w:r w:rsidR="0065789B">
              <w:rPr>
                <w:rFonts w:cs="Arial"/>
              </w:rPr>
              <w:t xml:space="preserve"> and this should be described</w:t>
            </w:r>
            <w:r w:rsidR="00EC63D0">
              <w:rPr>
                <w:rFonts w:cs="Arial"/>
              </w:rPr>
              <w:t xml:space="preserve"> </w:t>
            </w:r>
            <w:r w:rsidR="0065789B">
              <w:rPr>
                <w:rFonts w:cs="Arial"/>
              </w:rPr>
              <w:t>in jointly agreed policies/procedures for multi-agency working.</w:t>
            </w:r>
          </w:p>
        </w:tc>
      </w:tr>
    </w:tbl>
    <w:p w:rsidR="00F23515" w:rsidRDefault="00F23515" w:rsidP="00D306F0">
      <w:pPr>
        <w:pStyle w:val="Heading1"/>
      </w:pPr>
    </w:p>
    <w:p w:rsidR="000156E1" w:rsidRPr="00F23515" w:rsidRDefault="000156E1" w:rsidP="00F23515"/>
    <w:p w:rsidR="000075F4" w:rsidRDefault="000075F4" w:rsidP="0072371B">
      <w:pPr>
        <w:pStyle w:val="Heading1"/>
        <w:numPr>
          <w:ilvl w:val="0"/>
          <w:numId w:val="37"/>
        </w:numPr>
      </w:pPr>
      <w:bookmarkStart w:id="30" w:name="_Toc414568042"/>
      <w:r>
        <w:t>Accountability</w:t>
      </w:r>
      <w:bookmarkEnd w:id="30"/>
    </w:p>
    <w:p w:rsidR="003B1330" w:rsidRDefault="003B1330" w:rsidP="003B1330"/>
    <w:p w:rsidR="003B1330" w:rsidRDefault="000075F4" w:rsidP="003B1330">
      <w:r w:rsidRPr="000075F4">
        <w:t>The primary responsibility in relation to serious incident</w:t>
      </w:r>
      <w:r w:rsidR="000B135C">
        <w:t>s</w:t>
      </w:r>
      <w:r w:rsidRPr="000075F4">
        <w:t xml:space="preserve"> is from the provider of the care to the </w:t>
      </w:r>
      <w:r w:rsidR="000B135C">
        <w:t xml:space="preserve">people </w:t>
      </w:r>
      <w:r w:rsidRPr="000075F4">
        <w:t xml:space="preserve">who are affected and/or their families/carers. </w:t>
      </w:r>
    </w:p>
    <w:p w:rsidR="002873EA" w:rsidRDefault="002873EA" w:rsidP="003B1330"/>
    <w:p w:rsidR="00324B61" w:rsidRDefault="00F90F99" w:rsidP="00F90F99">
      <w:r>
        <w:t xml:space="preserve">The key </w:t>
      </w:r>
      <w:r w:rsidRPr="00B23031">
        <w:rPr>
          <w:i/>
        </w:rPr>
        <w:t>organisational</w:t>
      </w:r>
      <w:r>
        <w:t xml:space="preserve"> accountability for serious incident management is from the provider in which the incident took place to the commissioner of the care in which the incident took place. Given this line of accountability, it follows that serious incidents must be reported to the organisation that commissioned the care in which the serious incident occurred.</w:t>
      </w:r>
      <w:r w:rsidR="00FB164A">
        <w:t xml:space="preserve"> </w:t>
      </w:r>
      <w:r w:rsidR="00481A47">
        <w:t xml:space="preserve"> </w:t>
      </w:r>
    </w:p>
    <w:p w:rsidR="00324B61" w:rsidRDefault="00324B61" w:rsidP="00F90F99"/>
    <w:p w:rsidR="00324B61" w:rsidRDefault="00324B61" w:rsidP="0072371B">
      <w:pPr>
        <w:pStyle w:val="Heading2"/>
        <w:numPr>
          <w:ilvl w:val="1"/>
          <w:numId w:val="37"/>
        </w:numPr>
      </w:pPr>
      <w:bookmarkStart w:id="31" w:name="_Toc414568043"/>
      <w:r>
        <w:t>Involvement of multiple commissioners</w:t>
      </w:r>
      <w:bookmarkEnd w:id="31"/>
    </w:p>
    <w:p w:rsidR="00F90F99" w:rsidRDefault="00324B61" w:rsidP="00F90F99">
      <w:r>
        <w:t>I</w:t>
      </w:r>
      <w:r w:rsidR="00FB164A">
        <w:t xml:space="preserve">n </w:t>
      </w:r>
      <w:r w:rsidR="00F90F99">
        <w:t xml:space="preserve">a complex commissioning landscape where multiple commissioners may commission services from multiple providers spanning local and regional geographical boundaries, </w:t>
      </w:r>
      <w:r w:rsidR="00FB164A">
        <w:t>this model</w:t>
      </w:r>
      <w:r w:rsidR="003661CA">
        <w:t xml:space="preserve"> (i.e. where providers report incidents to the commissioner holding the contract who then assumes responsibility for overseeing the response to the serious incident)</w:t>
      </w:r>
      <w:r w:rsidR="00FB164A">
        <w:t xml:space="preserve"> is not always practicable so a more flexible approach is required. C</w:t>
      </w:r>
      <w:r w:rsidR="00F90F99">
        <w:t xml:space="preserve">ommissioners </w:t>
      </w:r>
      <w:r w:rsidR="00FB164A">
        <w:t xml:space="preserve">must </w:t>
      </w:r>
      <w:r w:rsidR="00F90F99">
        <w:t xml:space="preserve">work collaboratively to agree how best to manage serious incidents for their services. </w:t>
      </w:r>
    </w:p>
    <w:p w:rsidR="00FB164A" w:rsidRDefault="00FB164A" w:rsidP="00F90F99"/>
    <w:p w:rsidR="00F90F99" w:rsidRDefault="005B4EC4" w:rsidP="00F90F99">
      <w:r>
        <w:t>In all cases, a RASCI</w:t>
      </w:r>
      <w:r w:rsidR="00F90F99">
        <w:t xml:space="preserve"> (</w:t>
      </w:r>
      <w:r w:rsidR="000B135C" w:rsidRPr="00B23031">
        <w:rPr>
          <w:u w:val="single"/>
        </w:rPr>
        <w:t>R</w:t>
      </w:r>
      <w:r w:rsidR="000B135C">
        <w:t>esponsible</w:t>
      </w:r>
      <w:r w:rsidR="00FB164A">
        <w:t xml:space="preserve">, </w:t>
      </w:r>
      <w:r w:rsidR="000B135C" w:rsidRPr="00B23031">
        <w:rPr>
          <w:u w:val="single"/>
        </w:rPr>
        <w:t>A</w:t>
      </w:r>
      <w:r w:rsidR="000B135C">
        <w:t>ccountable</w:t>
      </w:r>
      <w:r w:rsidR="00FB164A">
        <w:t xml:space="preserve">, </w:t>
      </w:r>
      <w:r w:rsidR="000B135C" w:rsidRPr="00B23031">
        <w:rPr>
          <w:u w:val="single"/>
        </w:rPr>
        <w:t>S</w:t>
      </w:r>
      <w:r w:rsidR="000B135C">
        <w:t>upporting</w:t>
      </w:r>
      <w:r w:rsidR="00F90F99">
        <w:t xml:space="preserve">, </w:t>
      </w:r>
      <w:r w:rsidR="000B135C" w:rsidRPr="00B23031">
        <w:rPr>
          <w:u w:val="single"/>
        </w:rPr>
        <w:t>C</w:t>
      </w:r>
      <w:r w:rsidR="000B135C">
        <w:t>onsulted</w:t>
      </w:r>
      <w:r>
        <w:t xml:space="preserve">, </w:t>
      </w:r>
      <w:r w:rsidR="000B135C" w:rsidRPr="00B23031">
        <w:rPr>
          <w:u w:val="single"/>
        </w:rPr>
        <w:t>I</w:t>
      </w:r>
      <w:r w:rsidR="000B135C">
        <w:t>nformed</w:t>
      </w:r>
      <w:r w:rsidR="00F90F99">
        <w:t>) model should be agreed in relation to management of serious incidents</w:t>
      </w:r>
      <w:r>
        <w:rPr>
          <w:rStyle w:val="EndnoteReference"/>
        </w:rPr>
        <w:endnoteReference w:id="6"/>
      </w:r>
      <w:r>
        <w:t xml:space="preserve"> (see </w:t>
      </w:r>
      <w:r w:rsidR="00FE0FBC">
        <w:t>A</w:t>
      </w:r>
      <w:r>
        <w:t>ppendix 5 for further details)</w:t>
      </w:r>
      <w:r w:rsidR="00F90F99">
        <w:t xml:space="preserve">. This will ensure that it is clear who is responsible for </w:t>
      </w:r>
      <w:r w:rsidR="00F90F99">
        <w:lastRenderedPageBreak/>
        <w:t xml:space="preserve">leading oversight of the investigation, where the accountability ultimately resides and who should be consulted and/or informed as part of the process. This allows the </w:t>
      </w:r>
      <w:r w:rsidR="00FB164A">
        <w:t>‘accountable commissioner’</w:t>
      </w:r>
      <w:r w:rsidR="00FE0FBC">
        <w:t>,</w:t>
      </w:r>
      <w:r w:rsidR="00FB164A">
        <w:t xml:space="preserve"> </w:t>
      </w:r>
      <w:r w:rsidR="00F90F99">
        <w:t>i.e. the co</w:t>
      </w:r>
      <w:r w:rsidR="00FB164A">
        <w:t>mmissioner holding the contract</w:t>
      </w:r>
      <w:r w:rsidR="00F90F99">
        <w:t xml:space="preserve"> to clearly delegate responsibility for management of serious incident investigations to an appropriate alternative commissioning body</w:t>
      </w:r>
      <w:r w:rsidR="00FE0FBC">
        <w:t>,</w:t>
      </w:r>
      <w:r w:rsidR="000B135C">
        <w:t xml:space="preserve"> if that makes sense</w:t>
      </w:r>
      <w:r w:rsidR="00F90F99">
        <w:t xml:space="preserve">. </w:t>
      </w:r>
      <w:r w:rsidR="00E221F1">
        <w:t xml:space="preserve">It should be noted that </w:t>
      </w:r>
      <w:r w:rsidR="00F90F99">
        <w:t xml:space="preserve">this does not remove the overall accountability of the commissioner who holds the </w:t>
      </w:r>
      <w:r w:rsidR="00E221F1">
        <w:t xml:space="preserve">relevant </w:t>
      </w:r>
      <w:r w:rsidR="00F90F99">
        <w:t xml:space="preserve">contract. </w:t>
      </w:r>
    </w:p>
    <w:p w:rsidR="00F90F99" w:rsidRDefault="00F90F99" w:rsidP="00F90F99"/>
    <w:p w:rsidR="00FB164A" w:rsidRDefault="005B4EC4" w:rsidP="00F90F99">
      <w:r>
        <w:t>The RASCI</w:t>
      </w:r>
      <w:r w:rsidR="00F90F99">
        <w:t xml:space="preserve"> model supports</w:t>
      </w:r>
      <w:r w:rsidR="0065789B">
        <w:t xml:space="preserve"> the</w:t>
      </w:r>
      <w:r w:rsidR="00F90F99">
        <w:t xml:space="preserve"> identification of a single ‘lead commissioner’ with responsibility for managing oversight of serious incidents within a particular provider. </w:t>
      </w:r>
      <w:r w:rsidR="0065789B">
        <w:t>This means that</w:t>
      </w:r>
      <w:r w:rsidR="00FB164A">
        <w:t xml:space="preserve"> a provider reports and enga</w:t>
      </w:r>
      <w:r w:rsidR="000156E1">
        <w:t>ges with</w:t>
      </w:r>
      <w:r w:rsidR="0065789B">
        <w:t xml:space="preserve"> one</w:t>
      </w:r>
      <w:r w:rsidR="000156E1">
        <w:t xml:space="preserve"> single commissioning </w:t>
      </w:r>
      <w:r w:rsidR="00FB164A">
        <w:t>organisation who can then liaise with other commissioner</w:t>
      </w:r>
      <w:r w:rsidR="0065789B">
        <w:t>s</w:t>
      </w:r>
      <w:r w:rsidR="00FB164A">
        <w:t xml:space="preserve"> as required. </w:t>
      </w:r>
      <w:r w:rsidR="00F90F99">
        <w:t xml:space="preserve">This approach is particularly useful where the </w:t>
      </w:r>
      <w:r w:rsidR="003661CA">
        <w:t>‘</w:t>
      </w:r>
      <w:r w:rsidR="00F90F99">
        <w:t>accountable commissioner</w:t>
      </w:r>
      <w:r w:rsidR="003661CA">
        <w:t>’</w:t>
      </w:r>
      <w:r w:rsidR="00F90F99">
        <w:t xml:space="preserve"> is geographically remote from the provider (and therefore removed from other local systems and intelligence networks) and/or where multiple </w:t>
      </w:r>
      <w:r w:rsidR="000156E1">
        <w:t>commissioners’</w:t>
      </w:r>
      <w:r w:rsidR="00F90F99">
        <w:t xml:space="preserve"> commission services from the same provider. </w:t>
      </w:r>
      <w:r w:rsidR="00FB164A">
        <w:t>It facilitates</w:t>
      </w:r>
      <w:r w:rsidR="00F90F99">
        <w:t xml:space="preserve"> continuity in the management of</w:t>
      </w:r>
      <w:r w:rsidR="00FB164A">
        <w:t xml:space="preserve"> serious</w:t>
      </w:r>
      <w:r w:rsidR="0065789B">
        <w:t xml:space="preserve"> incidents,</w:t>
      </w:r>
      <w:r w:rsidR="00F90F99">
        <w:t xml:space="preserve"> removes ambiguity and therefore the risk of serious incidents being overlooked</w:t>
      </w:r>
      <w:r w:rsidR="0065789B">
        <w:t xml:space="preserve"> and reduces the likelihood of duplication </w:t>
      </w:r>
      <w:r w:rsidR="00F90F99">
        <w:t xml:space="preserve">where there is confusion regarding </w:t>
      </w:r>
      <w:r w:rsidR="001D4AAE">
        <w:t>accountability and/or responsibility and general management of the serious incident process</w:t>
      </w:r>
      <w:r w:rsidR="00F90F99">
        <w:t xml:space="preserve">. </w:t>
      </w:r>
    </w:p>
    <w:p w:rsidR="00162616" w:rsidRDefault="00162616" w:rsidP="00F90F99"/>
    <w:p w:rsidR="00324B61" w:rsidRDefault="00324B61" w:rsidP="0072371B">
      <w:pPr>
        <w:pStyle w:val="Heading2"/>
        <w:numPr>
          <w:ilvl w:val="1"/>
          <w:numId w:val="37"/>
        </w:numPr>
      </w:pPr>
      <w:bookmarkStart w:id="32" w:name="_Toc414568044"/>
      <w:r w:rsidRPr="0068516B">
        <w:t>Involvement of multiple providers</w:t>
      </w:r>
      <w:bookmarkEnd w:id="32"/>
    </w:p>
    <w:p w:rsidR="005D688C" w:rsidRDefault="0068516B" w:rsidP="00324B61">
      <w:r>
        <w:t xml:space="preserve">Often more than one organisation is involved in the care and service delivery </w:t>
      </w:r>
      <w:r w:rsidR="00E221F1">
        <w:t xml:space="preserve">in </w:t>
      </w:r>
      <w:r w:rsidR="00EF35FD">
        <w:t>which a</w:t>
      </w:r>
      <w:r>
        <w:t xml:space="preserve"> serious incident</w:t>
      </w:r>
      <w:r w:rsidR="00E221F1">
        <w:t xml:space="preserve"> has occurred</w:t>
      </w:r>
      <w:r>
        <w:t xml:space="preserve">. </w:t>
      </w:r>
      <w:r w:rsidR="008D3C4A">
        <w:t>T</w:t>
      </w:r>
      <w:r>
        <w:t>he organisation that identifies the serious</w:t>
      </w:r>
      <w:r w:rsidR="005D688C">
        <w:t xml:space="preserve"> incident</w:t>
      </w:r>
      <w:r>
        <w:t xml:space="preserve"> </w:t>
      </w:r>
      <w:r w:rsidR="008D3C4A">
        <w:t xml:space="preserve">is </w:t>
      </w:r>
      <w:r>
        <w:t xml:space="preserve">responsible for </w:t>
      </w:r>
      <w:r w:rsidR="008D3C4A">
        <w:t>recognising the need to alert</w:t>
      </w:r>
      <w:r w:rsidR="00B64635">
        <w:t xml:space="preserve"> other provider</w:t>
      </w:r>
      <w:r w:rsidR="00E221F1">
        <w:t>s</w:t>
      </w:r>
      <w:r w:rsidR="00B64635">
        <w:t>,</w:t>
      </w:r>
      <w:r>
        <w:t xml:space="preserve"> </w:t>
      </w:r>
      <w:r w:rsidR="00E221F1">
        <w:t xml:space="preserve">commissioners </w:t>
      </w:r>
      <w:r w:rsidR="00B64635">
        <w:t xml:space="preserve">and partner </w:t>
      </w:r>
      <w:r>
        <w:t>organisations</w:t>
      </w:r>
      <w:r w:rsidR="00B64635">
        <w:t xml:space="preserve"> as required</w:t>
      </w:r>
      <w:r w:rsidR="008D3C4A">
        <w:t xml:space="preserve"> </w:t>
      </w:r>
      <w:r w:rsidR="0040465F">
        <w:t>in order to initiate</w:t>
      </w:r>
      <w:r w:rsidR="008D3C4A">
        <w:t xml:space="preserve"> discussions about subsequent action. </w:t>
      </w:r>
      <w:r>
        <w:t xml:space="preserve"> </w:t>
      </w:r>
    </w:p>
    <w:p w:rsidR="005D688C" w:rsidRDefault="005D688C" w:rsidP="00324B61"/>
    <w:p w:rsidR="005D688C" w:rsidRDefault="005D688C" w:rsidP="00324B61">
      <w:r w:rsidRPr="005D688C">
        <w:t xml:space="preserve">All organisations and agencies </w:t>
      </w:r>
      <w:r w:rsidR="0040465F">
        <w:t xml:space="preserve">involved </w:t>
      </w:r>
      <w:r w:rsidRPr="005D688C">
        <w:t>shou</w:t>
      </w:r>
      <w:r w:rsidR="0040465F">
        <w:t xml:space="preserve">ld work together to undertake </w:t>
      </w:r>
      <w:r>
        <w:t>one single investigation</w:t>
      </w:r>
      <w:r w:rsidR="0040465F">
        <w:t xml:space="preserve"> wherever this is possible</w:t>
      </w:r>
      <w:r w:rsidR="00E221F1">
        <w:t xml:space="preserve"> and appropriate</w:t>
      </w:r>
      <w:r>
        <w:t>.</w:t>
      </w:r>
    </w:p>
    <w:p w:rsidR="005D688C" w:rsidRDefault="005D688C" w:rsidP="00324B61"/>
    <w:p w:rsidR="0068516B" w:rsidRDefault="0068516B" w:rsidP="00324B61">
      <w:r>
        <w:t>Commissioners should help to facilitate discussion</w:t>
      </w:r>
      <w:r w:rsidR="005D688C">
        <w:t>s</w:t>
      </w:r>
      <w:r>
        <w:t xml:space="preserve"> relating to who is the most appropriate organisation to take responsibility for </w:t>
      </w:r>
      <w:r w:rsidR="005D688C">
        <w:t>co</w:t>
      </w:r>
      <w:r w:rsidR="00FE0FBC">
        <w:t>-</w:t>
      </w:r>
      <w:r w:rsidR="005D688C">
        <w:t>ordinating</w:t>
      </w:r>
      <w:r>
        <w:t xml:space="preserve"> the investigation process. Commissioners</w:t>
      </w:r>
      <w:r w:rsidR="005D688C">
        <w:t xml:space="preserve"> themselves </w:t>
      </w:r>
      <w:r w:rsidR="0040465F">
        <w:t>should</w:t>
      </w:r>
      <w:r>
        <w:t xml:space="preserve"> </w:t>
      </w:r>
      <w:r w:rsidR="00D618F2">
        <w:t>provide</w:t>
      </w:r>
      <w:r w:rsidR="00C60A3A">
        <w:t xml:space="preserve"> </w:t>
      </w:r>
      <w:r>
        <w:t xml:space="preserve">support </w:t>
      </w:r>
      <w:r w:rsidR="00A84386">
        <w:t>in complex circumstances. W</w:t>
      </w:r>
      <w:r w:rsidR="0040465F">
        <w:t xml:space="preserve">here no one provider organisation is best placed to </w:t>
      </w:r>
      <w:r w:rsidR="00C60A3A">
        <w:t>assume responsibility for co</w:t>
      </w:r>
      <w:r w:rsidR="00FE0FBC">
        <w:t>-</w:t>
      </w:r>
      <w:r w:rsidR="00C60A3A">
        <w:t>ordinating an investigation</w:t>
      </w:r>
      <w:r w:rsidR="00FE0FBC">
        <w:t>,</w:t>
      </w:r>
      <w:r w:rsidR="00C60A3A">
        <w:t xml:space="preserve"> the commissioner</w:t>
      </w:r>
      <w:r w:rsidR="0040465F">
        <w:t xml:space="preserve"> may lead this process</w:t>
      </w:r>
      <w:r w:rsidR="00B64635">
        <w:rPr>
          <w:rStyle w:val="FootnoteReference"/>
        </w:rPr>
        <w:footnoteReference w:id="30"/>
      </w:r>
      <w:r w:rsidR="0040465F">
        <w:t>.</w:t>
      </w:r>
    </w:p>
    <w:p w:rsidR="0068516B" w:rsidRDefault="0068516B" w:rsidP="00324B61"/>
    <w:p w:rsidR="00324B61" w:rsidRDefault="0040465F" w:rsidP="00324B61">
      <w:r>
        <w:t xml:space="preserve">Often in complex circumstances </w:t>
      </w:r>
      <w:r w:rsidR="005D688C">
        <w:t xml:space="preserve">separate investigations are completed </w:t>
      </w:r>
      <w:r>
        <w:t xml:space="preserve">by the different provider </w:t>
      </w:r>
      <w:r w:rsidR="005D688C">
        <w:t>organisation</w:t>
      </w:r>
      <w:r>
        <w:t xml:space="preserve">s. Where this is the case </w:t>
      </w:r>
      <w:r w:rsidR="00C60A3A">
        <w:t>organisations (providers and commissioners</w:t>
      </w:r>
      <w:r w:rsidR="00B64635">
        <w:t xml:space="preserve"> and external partners as required</w:t>
      </w:r>
      <w:r w:rsidR="00C60A3A">
        <w:t xml:space="preserve">) </w:t>
      </w:r>
      <w:r w:rsidR="005D688C">
        <w:t>must agree to consider cross boundary issues i.e. the gaps in the service</w:t>
      </w:r>
      <w:r w:rsidR="00A84386">
        <w:t>s</w:t>
      </w:r>
      <w:r w:rsidR="005D688C">
        <w:t xml:space="preserve"> that may lead to problems in care. </w:t>
      </w:r>
      <w:r w:rsidR="00533328">
        <w:t xml:space="preserve">The contributing factors and root causes of any problems identified </w:t>
      </w:r>
      <w:r w:rsidR="00B64635">
        <w:t>must</w:t>
      </w:r>
      <w:r w:rsidR="00533328">
        <w:t xml:space="preserve"> be fully explored in order to develop effective solution</w:t>
      </w:r>
      <w:r w:rsidR="00B64635">
        <w:t>s</w:t>
      </w:r>
      <w:r w:rsidR="00533328">
        <w:t xml:space="preserve"> to prevent recurrence. </w:t>
      </w:r>
      <w:r w:rsidR="00C60A3A">
        <w:t xml:space="preserve">Those responsible for coordinating the investigation must ensure this takes place. </w:t>
      </w:r>
      <w:r w:rsidR="00D618F2">
        <w:t xml:space="preserve">This activity should culminate </w:t>
      </w:r>
      <w:r w:rsidR="00FE0FBC">
        <w:t>in</w:t>
      </w:r>
      <w:r w:rsidR="00D618F2">
        <w:t xml:space="preserve"> the development of a single investigation report. Development, </w:t>
      </w:r>
      <w:r w:rsidR="00D618F2">
        <w:lastRenderedPageBreak/>
        <w:t>implementation and monitoring of subsequent action plans</w:t>
      </w:r>
      <w:r w:rsidR="00B64635">
        <w:t xml:space="preserve"> by the relevant organisations</w:t>
      </w:r>
      <w:r w:rsidR="00D618F2">
        <w:t xml:space="preserve"> must be undertaken in line with g</w:t>
      </w:r>
      <w:r w:rsidR="00B64635">
        <w:t xml:space="preserve">uidance outlined in part three of this </w:t>
      </w:r>
      <w:r w:rsidR="005A7486">
        <w:t>Framework</w:t>
      </w:r>
      <w:r w:rsidR="00B64635">
        <w:t>.</w:t>
      </w:r>
      <w:r w:rsidR="00D618F2">
        <w:t xml:space="preserve"> </w:t>
      </w:r>
    </w:p>
    <w:p w:rsidR="00FB164A" w:rsidRDefault="00FB164A" w:rsidP="00F90F99"/>
    <w:p w:rsidR="00302F73" w:rsidRDefault="00302F73" w:rsidP="0072371B">
      <w:pPr>
        <w:pStyle w:val="Heading1"/>
        <w:numPr>
          <w:ilvl w:val="0"/>
          <w:numId w:val="37"/>
        </w:numPr>
      </w:pPr>
      <w:bookmarkStart w:id="33" w:name="_Toc414568045"/>
      <w:r>
        <w:t>Roles and Responsibilities</w:t>
      </w:r>
      <w:r w:rsidR="003A0E06">
        <w:t xml:space="preserve"> for Managing Serious Incident</w:t>
      </w:r>
      <w:bookmarkEnd w:id="33"/>
    </w:p>
    <w:p w:rsidR="00BA5DE3" w:rsidRPr="00BA5DE3" w:rsidRDefault="00BA5DE3" w:rsidP="00BA5DE3"/>
    <w:p w:rsidR="00302F73" w:rsidRDefault="00302F73" w:rsidP="00302F73">
      <w:r w:rsidRPr="00302F73">
        <w:t xml:space="preserve">Different parts of the system have distinct functions in relation </w:t>
      </w:r>
      <w:r>
        <w:t>to</w:t>
      </w:r>
      <w:r w:rsidR="008D70B8">
        <w:t xml:space="preserve"> serious incident management</w:t>
      </w:r>
      <w:r w:rsidR="00FE0FBC">
        <w:t>-</w:t>
      </w:r>
      <w:r>
        <w:t xml:space="preserve"> </w:t>
      </w:r>
      <w:r w:rsidRPr="00302F73">
        <w:t xml:space="preserve">effective management and learning requires a collective effort </w:t>
      </w:r>
      <w:r>
        <w:t xml:space="preserve">throughout </w:t>
      </w:r>
      <w:r w:rsidRPr="00302F73">
        <w:t>the system.</w:t>
      </w:r>
      <w:r>
        <w:t xml:space="preserve"> </w:t>
      </w:r>
    </w:p>
    <w:p w:rsidR="00302F73" w:rsidRDefault="00302F73" w:rsidP="00302F73"/>
    <w:p w:rsidR="00670231" w:rsidRDefault="00302F73" w:rsidP="00302F73">
      <w:r>
        <w:t xml:space="preserve">The nature of the serious incident largely determines who </w:t>
      </w:r>
      <w:r w:rsidR="00670231">
        <w:t xml:space="preserve">has a role to play and what that role is. This section outlines the </w:t>
      </w:r>
      <w:r w:rsidR="003C20EC">
        <w:t xml:space="preserve">key </w:t>
      </w:r>
      <w:r w:rsidR="00670231">
        <w:t>roles and r</w:t>
      </w:r>
      <w:r w:rsidR="00164E1B">
        <w:t>esponsibilities of providers,</w:t>
      </w:r>
      <w:r w:rsidR="00670231">
        <w:t xml:space="preserve"> commissioners</w:t>
      </w:r>
      <w:r w:rsidR="006E4FE5">
        <w:t>,</w:t>
      </w:r>
      <w:r w:rsidR="00164E1B">
        <w:t xml:space="preserve"> key regulatory and supervisory bodies</w:t>
      </w:r>
      <w:r w:rsidR="00670231">
        <w:t xml:space="preserve">. Reference must be made to </w:t>
      </w:r>
      <w:r w:rsidR="00FE0FBC">
        <w:t>A</w:t>
      </w:r>
      <w:r w:rsidR="00670231">
        <w:t xml:space="preserve">ppendix </w:t>
      </w:r>
      <w:r w:rsidR="000120C9">
        <w:t>2</w:t>
      </w:r>
      <w:r w:rsidR="00670231">
        <w:t xml:space="preserve"> which outlines other bodies that must be involved</w:t>
      </w:r>
      <w:r w:rsidR="003C20EC">
        <w:t>,</w:t>
      </w:r>
      <w:r w:rsidR="00670231">
        <w:t xml:space="preserve"> depending on the nature and circumstances of the case.</w:t>
      </w:r>
    </w:p>
    <w:p w:rsidR="007405CE" w:rsidRDefault="007405CE" w:rsidP="00F23515">
      <w:pPr>
        <w:pStyle w:val="Heading3"/>
        <w:rPr>
          <w:b w:val="0"/>
        </w:rPr>
      </w:pPr>
    </w:p>
    <w:p w:rsidR="003A0E06" w:rsidRDefault="003A0E06" w:rsidP="0072371B">
      <w:pPr>
        <w:pStyle w:val="Heading2"/>
        <w:numPr>
          <w:ilvl w:val="1"/>
          <w:numId w:val="37"/>
        </w:numPr>
      </w:pPr>
      <w:bookmarkStart w:id="34" w:name="_Toc414568046"/>
      <w:r>
        <w:t>Providers of NHS</w:t>
      </w:r>
      <w:r w:rsidR="003C20EC">
        <w:t>-</w:t>
      </w:r>
      <w:r>
        <w:t>funded care</w:t>
      </w:r>
      <w:bookmarkEnd w:id="34"/>
    </w:p>
    <w:p w:rsidR="0078196B" w:rsidRDefault="00B12434" w:rsidP="00EF35FD">
      <w:pPr>
        <w:pStyle w:val="Default"/>
        <w:spacing w:after="120"/>
      </w:pPr>
      <w:r>
        <w:t xml:space="preserve">The leadership at a provider organisation is ultimately responsible for the quality of care that is provided by </w:t>
      </w:r>
      <w:r w:rsidR="00655C58">
        <w:t>that</w:t>
      </w:r>
      <w:r>
        <w:t xml:space="preserve"> organisation</w:t>
      </w:r>
      <w:r w:rsidR="003C20EC">
        <w:t>.</w:t>
      </w:r>
      <w:r>
        <w:rPr>
          <w:rStyle w:val="FootnoteReference"/>
        </w:rPr>
        <w:footnoteReference w:id="31"/>
      </w:r>
      <w:r w:rsidR="002E5FD2">
        <w:t xml:space="preserve"> </w:t>
      </w:r>
      <w:r w:rsidR="00B44EC4" w:rsidRPr="00563862">
        <w:t>Serious incident management is a critical component of corporate and clinical governance</w:t>
      </w:r>
      <w:r w:rsidR="002E5FD2">
        <w:t>, and p</w:t>
      </w:r>
      <w:r w:rsidR="00B44EC4" w:rsidRPr="00563862">
        <w:t xml:space="preserve">roviders </w:t>
      </w:r>
      <w:r w:rsidR="0078196B">
        <w:t xml:space="preserve">are </w:t>
      </w:r>
      <w:r w:rsidR="00B44EC4" w:rsidRPr="00563862">
        <w:t>responsible for arrangin</w:t>
      </w:r>
      <w:r w:rsidR="009E6288">
        <w:t xml:space="preserve">g and resourcing investigations and </w:t>
      </w:r>
      <w:r w:rsidR="0078196B" w:rsidRPr="0078196B">
        <w:t>must ensure robust systems are in place for recognising, reporting, investigating and responding to serious incidents.</w:t>
      </w:r>
      <w:r w:rsidR="0078196B">
        <w:t xml:space="preserve"> The principles and processes associated with robust serious incident management must be endorsed with</w:t>
      </w:r>
      <w:r w:rsidR="008D70B8">
        <w:t>in</w:t>
      </w:r>
      <w:r w:rsidR="0078196B">
        <w:t xml:space="preserve"> an </w:t>
      </w:r>
      <w:r w:rsidR="00CC44C8">
        <w:t>o</w:t>
      </w:r>
      <w:r w:rsidR="0078196B">
        <w:t>rganisation</w:t>
      </w:r>
      <w:r w:rsidR="00E221F1">
        <w:t>’</w:t>
      </w:r>
      <w:r w:rsidR="0078196B">
        <w:t>s Incident Reporting and Management Policy.</w:t>
      </w:r>
    </w:p>
    <w:p w:rsidR="00B44EC4" w:rsidRPr="00563862" w:rsidRDefault="0078196B" w:rsidP="00B44EC4">
      <w:pPr>
        <w:pStyle w:val="Default"/>
        <w:spacing w:after="120" w:line="276" w:lineRule="auto"/>
      </w:pPr>
      <w:r>
        <w:t xml:space="preserve">There must be clear procedures for:  </w:t>
      </w:r>
    </w:p>
    <w:p w:rsidR="00B44EC4" w:rsidRPr="00563862" w:rsidRDefault="00B44EC4" w:rsidP="00740B2C">
      <w:pPr>
        <w:pStyle w:val="Default"/>
        <w:numPr>
          <w:ilvl w:val="0"/>
          <w:numId w:val="10"/>
        </w:numPr>
        <w:spacing w:after="120" w:line="276" w:lineRule="auto"/>
      </w:pPr>
      <w:r w:rsidRPr="00563862">
        <w:t>Timely reporting and liaison with their commissioning bodies</w:t>
      </w:r>
      <w:r w:rsidR="00E57D3B">
        <w:t xml:space="preserve"> (incidents must be recorded on STEIS within 2 working days of being identified)</w:t>
      </w:r>
      <w:r w:rsidRPr="00563862">
        <w:t>.</w:t>
      </w:r>
      <w:r w:rsidR="00740B2C" w:rsidRPr="00740B2C">
        <w:t xml:space="preserve"> Particular types of incidents may require additional reporting</w:t>
      </w:r>
      <w:r w:rsidR="00740B2C">
        <w:t xml:space="preserve"> to other systems</w:t>
      </w:r>
      <w:r w:rsidR="00740B2C" w:rsidRPr="00740B2C">
        <w:t>.</w:t>
      </w:r>
      <w:r w:rsidR="00740B2C">
        <w:t xml:space="preserve"> See appendix 2.</w:t>
      </w:r>
    </w:p>
    <w:p w:rsidR="00B44EC4" w:rsidRPr="00563862" w:rsidRDefault="00B44EC4" w:rsidP="00740B2C">
      <w:pPr>
        <w:pStyle w:val="Default"/>
        <w:numPr>
          <w:ilvl w:val="0"/>
          <w:numId w:val="10"/>
        </w:numPr>
        <w:spacing w:after="120" w:line="276" w:lineRule="auto"/>
      </w:pPr>
      <w:r w:rsidRPr="00563862">
        <w:t xml:space="preserve">Compliance with reporting and liaison requirements with </w:t>
      </w:r>
      <w:r w:rsidR="00452445">
        <w:t xml:space="preserve">regulators and </w:t>
      </w:r>
      <w:r w:rsidR="00563862">
        <w:t>other agencies/partners.</w:t>
      </w:r>
      <w:r w:rsidR="00740B2C">
        <w:t xml:space="preserve"> </w:t>
      </w:r>
      <w:r w:rsidR="00563862">
        <w:t>See appendix</w:t>
      </w:r>
      <w:r w:rsidR="000120C9">
        <w:t xml:space="preserve"> 2</w:t>
      </w:r>
    </w:p>
    <w:p w:rsidR="00B44EC4" w:rsidRPr="00AE6324" w:rsidRDefault="00B44EC4" w:rsidP="002F11B3">
      <w:pPr>
        <w:pStyle w:val="ListParagraph"/>
        <w:numPr>
          <w:ilvl w:val="0"/>
          <w:numId w:val="10"/>
        </w:numPr>
        <w:spacing w:after="120" w:line="276" w:lineRule="auto"/>
        <w:contextualSpacing w:val="0"/>
        <w:rPr>
          <w:rFonts w:cstheme="minorHAnsi"/>
          <w:szCs w:val="24"/>
        </w:rPr>
      </w:pPr>
      <w:r w:rsidRPr="00AE6324">
        <w:rPr>
          <w:rFonts w:cstheme="minorHAnsi"/>
          <w:szCs w:val="24"/>
        </w:rPr>
        <w:t xml:space="preserve">Mechanisms to support </w:t>
      </w:r>
      <w:r w:rsidR="0078196B">
        <w:rPr>
          <w:rFonts w:cstheme="minorHAnsi"/>
          <w:szCs w:val="24"/>
        </w:rPr>
        <w:t xml:space="preserve">robust </w:t>
      </w:r>
      <w:r w:rsidRPr="00AE6324">
        <w:rPr>
          <w:rFonts w:cstheme="minorHAnsi"/>
          <w:szCs w:val="24"/>
        </w:rPr>
        <w:t>serious incident investigations, including processes to ensure the following:</w:t>
      </w:r>
    </w:p>
    <w:p w:rsidR="00B44EC4" w:rsidRDefault="00B44EC4" w:rsidP="002F11B3">
      <w:pPr>
        <w:pStyle w:val="ListParagraph"/>
        <w:numPr>
          <w:ilvl w:val="0"/>
          <w:numId w:val="11"/>
        </w:numPr>
        <w:spacing w:after="120" w:line="276" w:lineRule="auto"/>
        <w:contextualSpacing w:val="0"/>
        <w:rPr>
          <w:rFonts w:cstheme="minorHAnsi"/>
          <w:szCs w:val="24"/>
        </w:rPr>
      </w:pPr>
      <w:r>
        <w:rPr>
          <w:rFonts w:cstheme="minorHAnsi"/>
          <w:szCs w:val="24"/>
        </w:rPr>
        <w:t>Early, meaningful and sensitive engagement</w:t>
      </w:r>
      <w:r w:rsidRPr="00137B19">
        <w:rPr>
          <w:rFonts w:cstheme="minorHAnsi"/>
          <w:szCs w:val="24"/>
        </w:rPr>
        <w:t xml:space="preserve"> with </w:t>
      </w:r>
      <w:r>
        <w:rPr>
          <w:rFonts w:cstheme="minorHAnsi"/>
          <w:szCs w:val="24"/>
        </w:rPr>
        <w:t>affected</w:t>
      </w:r>
      <w:r w:rsidRPr="00137B19">
        <w:rPr>
          <w:rFonts w:cstheme="minorHAnsi"/>
          <w:szCs w:val="24"/>
        </w:rPr>
        <w:t xml:space="preserve"> patient</w:t>
      </w:r>
      <w:r>
        <w:rPr>
          <w:rFonts w:cstheme="minorHAnsi"/>
          <w:szCs w:val="24"/>
        </w:rPr>
        <w:t>s</w:t>
      </w:r>
      <w:r w:rsidRPr="00137B19">
        <w:rPr>
          <w:rFonts w:cstheme="minorHAnsi"/>
          <w:szCs w:val="24"/>
        </w:rPr>
        <w:t xml:space="preserve"> and</w:t>
      </w:r>
      <w:r>
        <w:rPr>
          <w:rFonts w:cstheme="minorHAnsi"/>
          <w:szCs w:val="24"/>
        </w:rPr>
        <w:t>/</w:t>
      </w:r>
      <w:r w:rsidRPr="00137B19">
        <w:rPr>
          <w:rFonts w:cstheme="minorHAnsi"/>
          <w:szCs w:val="24"/>
        </w:rPr>
        <w:t>or</w:t>
      </w:r>
      <w:r>
        <w:rPr>
          <w:rFonts w:cstheme="minorHAnsi"/>
          <w:szCs w:val="24"/>
        </w:rPr>
        <w:t xml:space="preserve"> their families</w:t>
      </w:r>
      <w:r w:rsidRPr="00137B19">
        <w:rPr>
          <w:rFonts w:cstheme="minorHAnsi"/>
          <w:szCs w:val="24"/>
        </w:rPr>
        <w:t>/carer</w:t>
      </w:r>
      <w:r>
        <w:rPr>
          <w:rFonts w:cstheme="minorHAnsi"/>
          <w:szCs w:val="24"/>
        </w:rPr>
        <w:t xml:space="preserve">s, from the point at which a serious incident is identified, throughout the investigation, report formulation  and subsequent action planning through to closure of the investigation process. </w:t>
      </w:r>
      <w:r w:rsidR="00E57D3B">
        <w:rPr>
          <w:rFonts w:cstheme="minorHAnsi"/>
          <w:szCs w:val="24"/>
        </w:rPr>
        <w:t xml:space="preserve">A specific person should be assigned to engage with the family to provide a single point of contact.  </w:t>
      </w:r>
    </w:p>
    <w:p w:rsidR="00DA1F10" w:rsidRDefault="00DA1F10" w:rsidP="002F11B3">
      <w:pPr>
        <w:pStyle w:val="ListParagraph"/>
        <w:numPr>
          <w:ilvl w:val="0"/>
          <w:numId w:val="11"/>
        </w:numPr>
        <w:spacing w:after="120" w:line="276" w:lineRule="auto"/>
        <w:contextualSpacing w:val="0"/>
        <w:rPr>
          <w:rFonts w:cstheme="minorHAnsi"/>
          <w:szCs w:val="24"/>
        </w:rPr>
      </w:pPr>
      <w:r>
        <w:rPr>
          <w:rFonts w:cstheme="minorHAnsi"/>
          <w:szCs w:val="24"/>
        </w:rPr>
        <w:t>Clear procedures for taking immediate action following a serious incident including the collection and retention of eviden</w:t>
      </w:r>
      <w:r w:rsidR="008D70B8">
        <w:rPr>
          <w:rFonts w:cstheme="minorHAnsi"/>
          <w:szCs w:val="24"/>
        </w:rPr>
        <w:t>ce</w:t>
      </w:r>
      <w:r w:rsidR="0061376B">
        <w:rPr>
          <w:rFonts w:cstheme="minorHAnsi"/>
          <w:szCs w:val="24"/>
        </w:rPr>
        <w:t xml:space="preserve"> </w:t>
      </w:r>
      <w:r w:rsidR="008D70B8">
        <w:rPr>
          <w:rFonts w:cstheme="minorHAnsi"/>
          <w:szCs w:val="24"/>
        </w:rPr>
        <w:t xml:space="preserve">i.e. notes/clinical records, </w:t>
      </w:r>
      <w:r w:rsidR="008D70B8">
        <w:rPr>
          <w:rFonts w:cstheme="minorHAnsi"/>
          <w:szCs w:val="24"/>
        </w:rPr>
        <w:lastRenderedPageBreak/>
        <w:t>written accounts/statements</w:t>
      </w:r>
      <w:r w:rsidR="008D70B8">
        <w:rPr>
          <w:rStyle w:val="FootnoteReference"/>
          <w:rFonts w:cstheme="minorHAnsi"/>
          <w:szCs w:val="24"/>
        </w:rPr>
        <w:footnoteReference w:id="32"/>
      </w:r>
      <w:r w:rsidR="008D70B8">
        <w:rPr>
          <w:rFonts w:cstheme="minorHAnsi"/>
          <w:szCs w:val="24"/>
        </w:rPr>
        <w:t xml:space="preserve"> </w:t>
      </w:r>
      <w:r>
        <w:rPr>
          <w:rFonts w:cstheme="minorHAnsi"/>
          <w:szCs w:val="24"/>
        </w:rPr>
        <w:t>fr</w:t>
      </w:r>
      <w:r w:rsidR="0061376B">
        <w:rPr>
          <w:rFonts w:cstheme="minorHAnsi"/>
          <w:szCs w:val="24"/>
        </w:rPr>
        <w:t>om those involved, equipment involved,</w:t>
      </w:r>
      <w:r>
        <w:rPr>
          <w:rFonts w:cstheme="minorHAnsi"/>
          <w:szCs w:val="24"/>
        </w:rPr>
        <w:t xml:space="preserve"> information from the location</w:t>
      </w:r>
      <w:r w:rsidR="0061376B">
        <w:rPr>
          <w:rFonts w:cstheme="minorHAnsi"/>
          <w:szCs w:val="24"/>
        </w:rPr>
        <w:t xml:space="preserve"> (site visit) and interviews with relevant individuals</w:t>
      </w:r>
      <w:r>
        <w:rPr>
          <w:rFonts w:cstheme="minorHAnsi"/>
          <w:szCs w:val="24"/>
        </w:rPr>
        <w:t xml:space="preserve">.  </w:t>
      </w:r>
    </w:p>
    <w:p w:rsidR="00DA1F10" w:rsidRPr="00DA1F10" w:rsidRDefault="00B44EC4" w:rsidP="002F11B3">
      <w:pPr>
        <w:pStyle w:val="ListParagraph"/>
        <w:numPr>
          <w:ilvl w:val="0"/>
          <w:numId w:val="11"/>
        </w:numPr>
        <w:spacing w:after="120" w:line="276" w:lineRule="auto"/>
        <w:contextualSpacing w:val="0"/>
        <w:rPr>
          <w:rFonts w:cstheme="minorHAnsi"/>
          <w:szCs w:val="24"/>
        </w:rPr>
      </w:pPr>
      <w:r>
        <w:rPr>
          <w:rFonts w:cstheme="minorHAnsi"/>
          <w:szCs w:val="24"/>
        </w:rPr>
        <w:t>I</w:t>
      </w:r>
      <w:r w:rsidRPr="00137B19">
        <w:rPr>
          <w:rFonts w:cstheme="minorHAnsi"/>
          <w:szCs w:val="24"/>
        </w:rPr>
        <w:t>nvestigations are undertaken by appropriately trained and resourced staff and/or investigation teams</w:t>
      </w:r>
      <w:r>
        <w:rPr>
          <w:rFonts w:cstheme="minorHAnsi"/>
          <w:szCs w:val="24"/>
        </w:rPr>
        <w:t xml:space="preserve"> that are</w:t>
      </w:r>
      <w:r w:rsidRPr="00137B19">
        <w:t xml:space="preserve"> </w:t>
      </w:r>
      <w:r w:rsidRPr="00137B19">
        <w:rPr>
          <w:rFonts w:cstheme="minorHAnsi"/>
          <w:szCs w:val="24"/>
        </w:rPr>
        <w:t>sufficiently removed from the incident to be able to provide an objective view.</w:t>
      </w:r>
    </w:p>
    <w:p w:rsidR="00B44EC4" w:rsidRDefault="00B44EC4" w:rsidP="002F11B3">
      <w:pPr>
        <w:pStyle w:val="ListParagraph"/>
        <w:numPr>
          <w:ilvl w:val="0"/>
          <w:numId w:val="11"/>
        </w:numPr>
        <w:spacing w:after="120" w:line="276" w:lineRule="auto"/>
        <w:contextualSpacing w:val="0"/>
        <w:rPr>
          <w:rFonts w:cstheme="minorHAnsi"/>
          <w:szCs w:val="24"/>
        </w:rPr>
      </w:pPr>
      <w:r w:rsidRPr="00137B19">
        <w:rPr>
          <w:rFonts w:cstheme="minorHAnsi"/>
          <w:szCs w:val="24"/>
        </w:rPr>
        <w:t>Inves</w:t>
      </w:r>
      <w:r>
        <w:rPr>
          <w:rFonts w:cstheme="minorHAnsi"/>
          <w:szCs w:val="24"/>
        </w:rPr>
        <w:t>tigations follow a systems-</w:t>
      </w:r>
      <w:r w:rsidRPr="00137B19">
        <w:rPr>
          <w:rFonts w:cstheme="minorHAnsi"/>
          <w:szCs w:val="24"/>
        </w:rPr>
        <w:t>b</w:t>
      </w:r>
      <w:r>
        <w:rPr>
          <w:rFonts w:cstheme="minorHAnsi"/>
          <w:szCs w:val="24"/>
        </w:rPr>
        <w:t xml:space="preserve">ased </w:t>
      </w:r>
      <w:r w:rsidR="0061376B">
        <w:rPr>
          <w:rFonts w:cstheme="minorHAnsi"/>
          <w:szCs w:val="24"/>
        </w:rPr>
        <w:t>approach</w:t>
      </w:r>
      <w:r>
        <w:rPr>
          <w:rFonts w:cstheme="minorHAnsi"/>
          <w:szCs w:val="24"/>
        </w:rPr>
        <w:t xml:space="preserve"> to ensure any</w:t>
      </w:r>
      <w:r w:rsidR="00563862">
        <w:rPr>
          <w:rFonts w:cstheme="minorHAnsi"/>
          <w:szCs w:val="24"/>
        </w:rPr>
        <w:t xml:space="preserve"> issues/problems with care delivery </w:t>
      </w:r>
      <w:r>
        <w:rPr>
          <w:rFonts w:cstheme="minorHAnsi"/>
          <w:szCs w:val="24"/>
        </w:rPr>
        <w:t>are fully understood from a human and systems factors perspective and that the ‘root</w:t>
      </w:r>
      <w:r w:rsidRPr="00137B19">
        <w:rPr>
          <w:rFonts w:cstheme="minorHAnsi"/>
          <w:szCs w:val="24"/>
        </w:rPr>
        <w:t xml:space="preserve"> causes</w:t>
      </w:r>
      <w:r>
        <w:rPr>
          <w:rFonts w:cstheme="minorHAnsi"/>
          <w:szCs w:val="24"/>
        </w:rPr>
        <w:t xml:space="preserve">’ </w:t>
      </w:r>
      <w:r w:rsidRPr="00137B19">
        <w:rPr>
          <w:rFonts w:cstheme="minorHAnsi"/>
          <w:szCs w:val="24"/>
        </w:rPr>
        <w:t xml:space="preserve">are identified </w:t>
      </w:r>
      <w:r>
        <w:rPr>
          <w:rFonts w:cstheme="minorHAnsi"/>
          <w:szCs w:val="24"/>
        </w:rPr>
        <w:t xml:space="preserve">(where it is possible to do so) </w:t>
      </w:r>
      <w:r w:rsidRPr="00137B19">
        <w:rPr>
          <w:rFonts w:cstheme="minorHAnsi"/>
          <w:szCs w:val="24"/>
        </w:rPr>
        <w:t>in order to produ</w:t>
      </w:r>
      <w:r>
        <w:rPr>
          <w:rFonts w:cstheme="minorHAnsi"/>
          <w:szCs w:val="24"/>
        </w:rPr>
        <w:t>ce focused recomm</w:t>
      </w:r>
      <w:r w:rsidR="00563862">
        <w:rPr>
          <w:rFonts w:cstheme="minorHAnsi"/>
          <w:szCs w:val="24"/>
        </w:rPr>
        <w:t xml:space="preserve">endations that result in SMART </w:t>
      </w:r>
      <w:r w:rsidR="00481A47">
        <w:rPr>
          <w:rFonts w:cstheme="minorHAnsi"/>
          <w:szCs w:val="24"/>
        </w:rPr>
        <w:t xml:space="preserve">(specific, measurable, attainable, relevant, time-bound) </w:t>
      </w:r>
      <w:r>
        <w:rPr>
          <w:rFonts w:cstheme="minorHAnsi"/>
          <w:szCs w:val="24"/>
        </w:rPr>
        <w:t>actions and learnin</w:t>
      </w:r>
      <w:r w:rsidR="00563862">
        <w:rPr>
          <w:rFonts w:cstheme="minorHAnsi"/>
          <w:szCs w:val="24"/>
        </w:rPr>
        <w:t>g to prevent recurrence.</w:t>
      </w:r>
    </w:p>
    <w:p w:rsidR="00B44EC4" w:rsidRDefault="00B44EC4" w:rsidP="002F11B3">
      <w:pPr>
        <w:pStyle w:val="ListParagraph"/>
        <w:numPr>
          <w:ilvl w:val="0"/>
          <w:numId w:val="11"/>
        </w:numPr>
        <w:spacing w:after="120" w:line="276" w:lineRule="auto"/>
        <w:contextualSpacing w:val="0"/>
        <w:rPr>
          <w:rFonts w:cstheme="minorHAnsi"/>
          <w:szCs w:val="24"/>
        </w:rPr>
      </w:pPr>
      <w:r w:rsidRPr="00137B19">
        <w:rPr>
          <w:rFonts w:cstheme="minorHAnsi"/>
          <w:szCs w:val="24"/>
        </w:rPr>
        <w:t xml:space="preserve">Access to </w:t>
      </w:r>
      <w:r w:rsidR="00333364">
        <w:rPr>
          <w:rFonts w:cstheme="minorHAnsi"/>
          <w:szCs w:val="24"/>
        </w:rPr>
        <w:t xml:space="preserve">relevant </w:t>
      </w:r>
      <w:r w:rsidR="0061376B">
        <w:rPr>
          <w:rFonts w:cstheme="minorHAnsi"/>
          <w:szCs w:val="24"/>
        </w:rPr>
        <w:t>specialists/</w:t>
      </w:r>
      <w:r w:rsidRPr="00137B19">
        <w:rPr>
          <w:rFonts w:cstheme="minorHAnsi"/>
          <w:szCs w:val="24"/>
        </w:rPr>
        <w:t xml:space="preserve"> experts, communications expertise, administrative support and/or additional resources to support investigations where required</w:t>
      </w:r>
      <w:r>
        <w:rPr>
          <w:rFonts w:cstheme="minorHAnsi"/>
          <w:szCs w:val="24"/>
        </w:rPr>
        <w:t>.</w:t>
      </w:r>
    </w:p>
    <w:p w:rsidR="00B44EC4" w:rsidRPr="00AE6324" w:rsidRDefault="00B44EC4" w:rsidP="002F11B3">
      <w:pPr>
        <w:pStyle w:val="ListParagraph"/>
        <w:numPr>
          <w:ilvl w:val="0"/>
          <w:numId w:val="11"/>
        </w:numPr>
        <w:spacing w:after="120" w:line="276" w:lineRule="auto"/>
        <w:contextualSpacing w:val="0"/>
        <w:rPr>
          <w:rFonts w:cstheme="minorHAnsi"/>
          <w:szCs w:val="24"/>
        </w:rPr>
      </w:pPr>
      <w:r w:rsidRPr="00896F2A">
        <w:rPr>
          <w:rFonts w:cstheme="minorHAnsi"/>
          <w:szCs w:val="24"/>
        </w:rPr>
        <w:t>Mechanisms to ensure that actions from action plans are monitored until implemented</w:t>
      </w:r>
      <w:r>
        <w:rPr>
          <w:rFonts w:cstheme="minorHAnsi"/>
          <w:szCs w:val="24"/>
        </w:rPr>
        <w:t xml:space="preserve"> and there is evidence of whether or not the action plan has resulted in the practice / sys</w:t>
      </w:r>
      <w:r w:rsidR="00AA6DFC">
        <w:rPr>
          <w:rFonts w:cstheme="minorHAnsi"/>
          <w:szCs w:val="24"/>
        </w:rPr>
        <w:t xml:space="preserve">tem improvement anticipated. This should include </w:t>
      </w:r>
      <w:r w:rsidRPr="00896F2A">
        <w:rPr>
          <w:rFonts w:cstheme="minorHAnsi"/>
          <w:szCs w:val="24"/>
        </w:rPr>
        <w:t xml:space="preserve">oversight of implementation </w:t>
      </w:r>
      <w:r>
        <w:rPr>
          <w:rFonts w:cstheme="minorHAnsi"/>
          <w:szCs w:val="24"/>
        </w:rPr>
        <w:t>by organisation leaders</w:t>
      </w:r>
      <w:r w:rsidR="0061376B">
        <w:rPr>
          <w:rFonts w:cstheme="minorHAnsi"/>
          <w:szCs w:val="24"/>
        </w:rPr>
        <w:t xml:space="preserve">. </w:t>
      </w:r>
    </w:p>
    <w:p w:rsidR="00B44EC4" w:rsidRPr="00FE3EA7" w:rsidRDefault="00B44EC4" w:rsidP="002F11B3">
      <w:pPr>
        <w:pStyle w:val="ListParagraph"/>
        <w:numPr>
          <w:ilvl w:val="0"/>
          <w:numId w:val="9"/>
        </w:numPr>
        <w:spacing w:after="120" w:line="276" w:lineRule="auto"/>
        <w:ind w:left="714" w:hanging="357"/>
        <w:contextualSpacing w:val="0"/>
        <w:rPr>
          <w:rFonts w:cstheme="minorHAnsi"/>
        </w:rPr>
      </w:pPr>
      <w:r w:rsidRPr="00FE3EA7">
        <w:rPr>
          <w:rFonts w:cstheme="minorHAnsi"/>
        </w:rPr>
        <w:t xml:space="preserve">Mechanisms to support </w:t>
      </w:r>
      <w:r>
        <w:rPr>
          <w:rFonts w:cstheme="minorHAnsi"/>
        </w:rPr>
        <w:t>investigations being le</w:t>
      </w:r>
      <w:r w:rsidRPr="00FE3EA7">
        <w:rPr>
          <w:rFonts w:cstheme="minorHAnsi"/>
        </w:rPr>
        <w:t>d by external agencies such as the police</w:t>
      </w:r>
      <w:r w:rsidR="003A3919">
        <w:rPr>
          <w:rFonts w:cstheme="minorHAnsi"/>
        </w:rPr>
        <w:t>, HSE</w:t>
      </w:r>
      <w:r w:rsidRPr="00FE3EA7">
        <w:rPr>
          <w:rFonts w:cstheme="minorHAnsi"/>
        </w:rPr>
        <w:t xml:space="preserve"> or local authority</w:t>
      </w:r>
      <w:r>
        <w:rPr>
          <w:rFonts w:cstheme="minorHAnsi"/>
        </w:rPr>
        <w:t xml:space="preserve">. Where required, providers must submit evidence to contribute towards external investigations.   </w:t>
      </w:r>
      <w:r w:rsidRPr="00FE3EA7">
        <w:rPr>
          <w:rFonts w:cstheme="minorHAnsi"/>
        </w:rPr>
        <w:t xml:space="preserve"> </w:t>
      </w:r>
    </w:p>
    <w:p w:rsidR="00B44EC4" w:rsidRPr="00563862" w:rsidRDefault="00B44EC4" w:rsidP="002F11B3">
      <w:pPr>
        <w:pStyle w:val="Default"/>
        <w:numPr>
          <w:ilvl w:val="0"/>
          <w:numId w:val="9"/>
        </w:numPr>
        <w:spacing w:after="120" w:line="276" w:lineRule="auto"/>
        <w:ind w:left="714" w:hanging="357"/>
      </w:pPr>
      <w:r w:rsidRPr="00563862">
        <w:t>Processes</w:t>
      </w:r>
      <w:r w:rsidR="009E6288">
        <w:t xml:space="preserve"> (including interagency investigation policy and/or memorandum of understanding with relevant organisations)</w:t>
      </w:r>
      <w:r w:rsidRPr="00563862">
        <w:t xml:space="preserve"> to support collaboration and partnership working where joint investigations are required to avoid duplication of activity or confusion of responsibility.</w:t>
      </w:r>
      <w:r w:rsidR="009E6288">
        <w:t xml:space="preserve"> </w:t>
      </w:r>
    </w:p>
    <w:p w:rsidR="00563862" w:rsidRPr="00563862" w:rsidRDefault="00B44EC4" w:rsidP="002F11B3">
      <w:pPr>
        <w:pStyle w:val="Default"/>
        <w:numPr>
          <w:ilvl w:val="0"/>
          <w:numId w:val="9"/>
        </w:numPr>
        <w:spacing w:after="120" w:line="276" w:lineRule="auto"/>
      </w:pPr>
      <w:r w:rsidRPr="00563862">
        <w:t xml:space="preserve">Quality assurance processes to ensure completion of high quality investigation reports and action plans to enable timely learning and closure of investigations and to prevent recurrence. </w:t>
      </w:r>
    </w:p>
    <w:p w:rsidR="00670231" w:rsidRPr="00563862" w:rsidRDefault="00B44EC4" w:rsidP="002F11B3">
      <w:pPr>
        <w:pStyle w:val="Default"/>
        <w:numPr>
          <w:ilvl w:val="0"/>
          <w:numId w:val="9"/>
        </w:numPr>
        <w:spacing w:after="120" w:line="276" w:lineRule="auto"/>
      </w:pPr>
      <w:r w:rsidRPr="00563862">
        <w:t>Mechanisms and effective communication channels to facilitate the sharing of lessons learned across the organisation and more widely where required.</w:t>
      </w:r>
    </w:p>
    <w:p w:rsidR="003A0E06" w:rsidRDefault="003A0E06" w:rsidP="00302F73"/>
    <w:p w:rsidR="003A0E06" w:rsidRDefault="003A0E06" w:rsidP="0072371B">
      <w:pPr>
        <w:pStyle w:val="Heading2"/>
        <w:numPr>
          <w:ilvl w:val="1"/>
          <w:numId w:val="37"/>
        </w:numPr>
      </w:pPr>
      <w:bookmarkStart w:id="35" w:name="_Toc414568047"/>
      <w:r>
        <w:t>Commissioners of NHS</w:t>
      </w:r>
      <w:r w:rsidR="003C20EC">
        <w:t>-</w:t>
      </w:r>
      <w:r>
        <w:t xml:space="preserve"> funded care</w:t>
      </w:r>
      <w:bookmarkEnd w:id="35"/>
    </w:p>
    <w:p w:rsidR="00A04306" w:rsidRDefault="00AC1E32" w:rsidP="00563862">
      <w:r>
        <w:t xml:space="preserve">Commissioners are responsible for securing a comprehensive service within available resources, to meet the needs of their local population. They must commission ‘regulated activities’ from providers that are registered with the CQC, and should contract with the provider to deliver continuously improving quality care.  They must </w:t>
      </w:r>
      <w:r>
        <w:lastRenderedPageBreak/>
        <w:t xml:space="preserve">assure themselves of the quality of services they have commissioned, and </w:t>
      </w:r>
      <w:r w:rsidR="00645ED1">
        <w:t>should hold</w:t>
      </w:r>
      <w:r w:rsidR="00563862">
        <w:t xml:space="preserve"> providers to account for their responses to</w:t>
      </w:r>
      <w:r w:rsidR="009823A6">
        <w:t xml:space="preserve"> serious incidents. This means c</w:t>
      </w:r>
      <w:r w:rsidR="00563862">
        <w:t>ommissioners quality assure the robustness of their providers’ serious incident investigations and the action plan implementation undertaken by their providers. Commissioners do this by evaluating investigations and gaining assurance that the processes and outcomes of investigations include identification and implementation of improvements that will prevent recurrence of serious incidents</w:t>
      </w:r>
      <w:r w:rsidR="00A84386">
        <w:t xml:space="preserve"> (see </w:t>
      </w:r>
      <w:r w:rsidR="003C20EC">
        <w:t>P</w:t>
      </w:r>
      <w:r w:rsidR="00A84386">
        <w:t xml:space="preserve">art </w:t>
      </w:r>
      <w:r w:rsidR="003C20EC">
        <w:t>T</w:t>
      </w:r>
      <w:r w:rsidR="00A84386">
        <w:t>hree; section 4.4-5 for further details)</w:t>
      </w:r>
      <w:r w:rsidR="00563862">
        <w:t xml:space="preserve">. </w:t>
      </w:r>
    </w:p>
    <w:p w:rsidR="00A04306" w:rsidRDefault="00A04306" w:rsidP="00563862"/>
    <w:p w:rsidR="00563862" w:rsidRDefault="00A04306" w:rsidP="00563862">
      <w:r>
        <w:t xml:space="preserve">Commissioning </w:t>
      </w:r>
      <w:r w:rsidR="009C5EF8">
        <w:t xml:space="preserve">Support Units (CSUs) </w:t>
      </w:r>
      <w:r w:rsidR="009C5EF8" w:rsidRPr="009C5EF8">
        <w:t xml:space="preserve">assist some </w:t>
      </w:r>
      <w:r w:rsidR="009823A6">
        <w:t>Clinical Commissioning Groups (</w:t>
      </w:r>
      <w:r w:rsidR="009C5EF8" w:rsidRPr="009C5EF8">
        <w:t>CCGs</w:t>
      </w:r>
      <w:r w:rsidR="009823A6">
        <w:t>)</w:t>
      </w:r>
      <w:r w:rsidR="009C5EF8" w:rsidRPr="009C5EF8">
        <w:t xml:space="preserve"> in some of the practical aspects of their role</w:t>
      </w:r>
      <w:r>
        <w:t>,</w:t>
      </w:r>
      <w:r w:rsidR="009C5EF8" w:rsidRPr="009C5EF8">
        <w:t xml:space="preserve"> for example, by ensuring there is timely reporting of serious incidents by the provider and quality assuring the robustness of the serious incident investigation undertaken by the provider. Delegating activity to the CSU does not remove a CCG’s overall accountability for this activity</w:t>
      </w:r>
      <w:r w:rsidR="009C5EF8">
        <w:t>.</w:t>
      </w:r>
    </w:p>
    <w:p w:rsidR="00563862" w:rsidRDefault="00563862" w:rsidP="00563862"/>
    <w:p w:rsidR="00563862" w:rsidRDefault="00563862" w:rsidP="00563862">
      <w:r>
        <w:t>Commissioners should use the details of serious incident investigation reports, together with other information and intelligence achieved via day to day interactions with providers to inform actions that continuously improve services</w:t>
      </w:r>
      <w:r w:rsidR="00C87E03">
        <w:t xml:space="preserve"> (where this is required)</w:t>
      </w:r>
      <w:r>
        <w:t>. Commissioners must establish mechanisms for sharing intelligence with relevant regulatory and partner organisation</w:t>
      </w:r>
      <w:r w:rsidR="00756050">
        <w:t>s</w:t>
      </w:r>
      <w:r>
        <w:t xml:space="preserve">. </w:t>
      </w:r>
    </w:p>
    <w:p w:rsidR="00563862" w:rsidRDefault="00563862" w:rsidP="00563862"/>
    <w:p w:rsidR="00563862" w:rsidRDefault="00563862" w:rsidP="00563862">
      <w:r>
        <w:t>Commissioning organisations have a responsibility to work together to determine how best to manage oversight of serious incidents in all the services they commission, particularly where multiple commissioners commission services from the same provider and/or where commissioning teams may be geographically remote. Commissioners should establish a RAS</w:t>
      </w:r>
      <w:r w:rsidR="00B13013">
        <w:t>CI</w:t>
      </w:r>
      <w:r>
        <w:t xml:space="preserve"> (‘</w:t>
      </w:r>
      <w:r w:rsidRPr="00B23031">
        <w:rPr>
          <w:u w:val="single"/>
        </w:rPr>
        <w:t>R</w:t>
      </w:r>
      <w:r>
        <w:t xml:space="preserve">esponsible, </w:t>
      </w:r>
      <w:r w:rsidRPr="00B23031">
        <w:rPr>
          <w:u w:val="single"/>
        </w:rPr>
        <w:t>A</w:t>
      </w:r>
      <w:r>
        <w:t xml:space="preserve">ccountable, </w:t>
      </w:r>
      <w:r w:rsidRPr="00B23031">
        <w:rPr>
          <w:u w:val="single"/>
        </w:rPr>
        <w:t>S</w:t>
      </w:r>
      <w:r>
        <w:t xml:space="preserve">upporting, </w:t>
      </w:r>
      <w:r w:rsidR="00B13013" w:rsidRPr="00B23031">
        <w:rPr>
          <w:u w:val="single"/>
        </w:rPr>
        <w:t>C</w:t>
      </w:r>
      <w:r w:rsidR="00B13013">
        <w:t xml:space="preserve">onsulted, </w:t>
      </w:r>
      <w:r w:rsidRPr="00B23031">
        <w:rPr>
          <w:u w:val="single"/>
        </w:rPr>
        <w:t>I</w:t>
      </w:r>
      <w:r>
        <w:t xml:space="preserve">nformed,’) model for the management of serious incidents in their commissioned services </w:t>
      </w:r>
      <w:r w:rsidR="00B23031">
        <w:t>as s</w:t>
      </w:r>
      <w:r w:rsidR="00A04306">
        <w:t xml:space="preserve">et out in </w:t>
      </w:r>
      <w:r w:rsidR="003C20EC">
        <w:t>A</w:t>
      </w:r>
      <w:r w:rsidR="00A04306">
        <w:t>ppendix 5</w:t>
      </w:r>
      <w:r>
        <w:t xml:space="preserve">. </w:t>
      </w:r>
      <w:r w:rsidR="00A04306">
        <w:t>A</w:t>
      </w:r>
      <w:r w:rsidR="0061376B">
        <w:t xml:space="preserve"> ‘lead commissioner’ role</w:t>
      </w:r>
      <w:r w:rsidR="00A04306">
        <w:t xml:space="preserve"> should be agreed</w:t>
      </w:r>
      <w:r w:rsidR="0061376B">
        <w:t xml:space="preserve"> in relation to serious incident management in providers with multiple commissioners in order to provide </w:t>
      </w:r>
      <w:r w:rsidR="00A04306">
        <w:t xml:space="preserve">a </w:t>
      </w:r>
      <w:r w:rsidR="0061376B">
        <w:t xml:space="preserve">clear communication channel between the provider and commissioning system. </w:t>
      </w:r>
    </w:p>
    <w:p w:rsidR="00563862" w:rsidRDefault="00563862" w:rsidP="00563862"/>
    <w:p w:rsidR="002C710B" w:rsidRDefault="002C710B" w:rsidP="00563862">
      <w:r>
        <w:t>As previously described</w:t>
      </w:r>
      <w:r w:rsidR="00563862">
        <w:t>, commissioners will</w:t>
      </w:r>
      <w:r>
        <w:t xml:space="preserve"> typically</w:t>
      </w:r>
      <w:r w:rsidR="00563862">
        <w:t xml:space="preserve"> manage serious incidents by overseeing investigations that are actually led and resourced by the provider(s) of care in which the serious incident occurred. However, in complex situations where multiple providers are involved or where the provider requires support with the investigation, commissioners may need to take a more hands-on approach to the investigation process itself.</w:t>
      </w:r>
      <w:r>
        <w:t xml:space="preserve"> </w:t>
      </w:r>
    </w:p>
    <w:p w:rsidR="002C710B" w:rsidRDefault="002C710B" w:rsidP="00563862"/>
    <w:p w:rsidR="002C710B" w:rsidRDefault="00F71DA3" w:rsidP="00563862">
      <w:r>
        <w:t>Commissioner</w:t>
      </w:r>
      <w:r w:rsidR="009C5EF8">
        <w:t>s</w:t>
      </w:r>
      <w:r w:rsidR="00E96F07">
        <w:t xml:space="preserve"> should</w:t>
      </w:r>
      <w:r>
        <w:t xml:space="preserve"> develop and </w:t>
      </w:r>
      <w:r w:rsidR="002C710B">
        <w:t xml:space="preserve">agree </w:t>
      </w:r>
      <w:r>
        <w:t xml:space="preserve">procedures for managing </w:t>
      </w:r>
      <w:r w:rsidR="002C710B">
        <w:t xml:space="preserve">concerns raised </w:t>
      </w:r>
      <w:r w:rsidR="00E96F07">
        <w:t>to</w:t>
      </w:r>
      <w:r w:rsidR="009C5EF8">
        <w:t xml:space="preserve"> them </w:t>
      </w:r>
      <w:r w:rsidR="002C710B">
        <w:t xml:space="preserve">in relation to </w:t>
      </w:r>
      <w:r>
        <w:t>the</w:t>
      </w:r>
      <w:r w:rsidR="002C710B">
        <w:t xml:space="preserve"> management of </w:t>
      </w:r>
      <w:r w:rsidR="004572A7">
        <w:t xml:space="preserve">the </w:t>
      </w:r>
      <w:r w:rsidR="002C710B">
        <w:t>investigati</w:t>
      </w:r>
      <w:r w:rsidR="009C5EF8">
        <w:t xml:space="preserve">on process. They </w:t>
      </w:r>
      <w:r w:rsidR="00E96F07">
        <w:t>should take responsibility for communicating</w:t>
      </w:r>
      <w:r w:rsidR="009C5EF8" w:rsidRPr="009C5EF8">
        <w:t xml:space="preserve"> clearly </w:t>
      </w:r>
      <w:r w:rsidR="00E96F07">
        <w:t>and effectively with those raising concerns</w:t>
      </w:r>
      <w:r w:rsidR="009C5EF8" w:rsidRPr="009C5EF8">
        <w:t xml:space="preserve"> through a single person</w:t>
      </w:r>
      <w:r w:rsidR="009119DD">
        <w:t xml:space="preserve"> and</w:t>
      </w:r>
      <w:r w:rsidR="00E96F07">
        <w:t xml:space="preserve"> ensure issues are effectively resolved. </w:t>
      </w:r>
    </w:p>
    <w:p w:rsidR="00D906A6" w:rsidRDefault="00D906A6" w:rsidP="00563862"/>
    <w:p w:rsidR="002C710B" w:rsidRDefault="002C710B" w:rsidP="00563862">
      <w:r w:rsidRPr="002C710B">
        <w:t xml:space="preserve">Commissioners also need </w:t>
      </w:r>
      <w:r w:rsidR="00A04306">
        <w:t>access to</w:t>
      </w:r>
      <w:r w:rsidRPr="002C710B">
        <w:t xml:space="preserve"> resource</w:t>
      </w:r>
      <w:r w:rsidR="00A04306">
        <w:t>s</w:t>
      </w:r>
      <w:r w:rsidRPr="002C710B">
        <w:t>/expertise</w:t>
      </w:r>
      <w:r w:rsidR="00D906A6">
        <w:t xml:space="preserve"> and access to competent independent investigators</w:t>
      </w:r>
      <w:r w:rsidRPr="002C710B">
        <w:t xml:space="preserve"> to support inve</w:t>
      </w:r>
      <w:r w:rsidR="00D906A6">
        <w:t xml:space="preserve">stigations in which they have an </w:t>
      </w:r>
      <w:r w:rsidRPr="002C710B">
        <w:t>obligation to assist</w:t>
      </w:r>
      <w:r w:rsidR="00D906A6">
        <w:t xml:space="preserve"> (f</w:t>
      </w:r>
      <w:r>
        <w:t>or example</w:t>
      </w:r>
      <w:r w:rsidRPr="002C710B">
        <w:t xml:space="preserve"> PPO investigations require the input of clinical reviewers to support the investigation </w:t>
      </w:r>
      <w:r>
        <w:t>of death in prison custody</w:t>
      </w:r>
      <w:r w:rsidR="00D906A6">
        <w:t>)</w:t>
      </w:r>
      <w:r w:rsidR="003C20EC">
        <w:t>,</w:t>
      </w:r>
      <w:r w:rsidR="00D906A6">
        <w:t xml:space="preserve"> or where they recognise an independent investigation may be required</w:t>
      </w:r>
      <w:r w:rsidR="005502ED">
        <w:t xml:space="preserve"> (see </w:t>
      </w:r>
      <w:r w:rsidR="003C20EC">
        <w:t>A</w:t>
      </w:r>
      <w:r w:rsidR="005502ED">
        <w:t>ppendix 3)</w:t>
      </w:r>
      <w:r w:rsidRPr="002C710B">
        <w:t xml:space="preserve">. </w:t>
      </w:r>
    </w:p>
    <w:p w:rsidR="002C710B" w:rsidRDefault="002C710B" w:rsidP="00563862"/>
    <w:p w:rsidR="00D97F71" w:rsidRDefault="00D97F71" w:rsidP="00563862">
      <w:r>
        <w:lastRenderedPageBreak/>
        <w:t>Commissioners must also have procedures for managing serious incidents within their own organisations including mechanisms to support the quality assurance and closure of investigations reports</w:t>
      </w:r>
      <w:r w:rsidR="003C20EC">
        <w:t>.</w:t>
      </w:r>
      <w:r>
        <w:rPr>
          <w:rStyle w:val="FootnoteReference"/>
        </w:rPr>
        <w:footnoteReference w:id="33"/>
      </w:r>
      <w:r>
        <w:t xml:space="preserve">  They must also have procedures to support their providers in reporting serious incidents onto the STEIS system where this is required. </w:t>
      </w:r>
    </w:p>
    <w:p w:rsidR="005D2131" w:rsidRDefault="005D2131" w:rsidP="00563862"/>
    <w:p w:rsidR="007950C5" w:rsidRDefault="007950C5" w:rsidP="0072371B">
      <w:pPr>
        <w:pStyle w:val="Heading2"/>
        <w:numPr>
          <w:ilvl w:val="1"/>
          <w:numId w:val="37"/>
        </w:numPr>
      </w:pPr>
      <w:bookmarkStart w:id="36" w:name="_Toc414568048"/>
      <w:r>
        <w:t>NHS England</w:t>
      </w:r>
      <w:bookmarkEnd w:id="36"/>
    </w:p>
    <w:p w:rsidR="007950C5" w:rsidRDefault="007950C5" w:rsidP="007950C5">
      <w:r>
        <w:t xml:space="preserve">NHS England </w:t>
      </w:r>
      <w:r w:rsidR="006E4FE5">
        <w:t>has a direct commissioning role</w:t>
      </w:r>
      <w:r w:rsidR="00AB7802">
        <w:t xml:space="preserve"> as well as a</w:t>
      </w:r>
      <w:r>
        <w:t xml:space="preserve"> role in leading and enabling the co</w:t>
      </w:r>
      <w:r w:rsidR="00AB7802">
        <w:t>mmission</w:t>
      </w:r>
      <w:r w:rsidR="007C6ACB">
        <w:t>ing</w:t>
      </w:r>
      <w:r w:rsidR="00AB7802">
        <w:t xml:space="preserve"> system. As part of the latter</w:t>
      </w:r>
      <w:r>
        <w:t xml:space="preserve"> role, NHS England maintains oversight and surveillance of serious incident</w:t>
      </w:r>
      <w:r w:rsidR="000D27ED">
        <w:t xml:space="preserve"> management</w:t>
      </w:r>
      <w:r>
        <w:t xml:space="preserve"> within NHS-funded care and </w:t>
      </w:r>
      <w:r w:rsidR="000D27ED">
        <w:t xml:space="preserve">assures </w:t>
      </w:r>
      <w:r w:rsidRPr="007950C5">
        <w:t>that CCGs have systems in place to appropriately manage serious incidents in the care they commission</w:t>
      </w:r>
      <w:r>
        <w:t>. They are responsible for reviewing trends, analysing quality and identifying issues of concern</w:t>
      </w:r>
      <w:r w:rsidR="00AB7802">
        <w:t xml:space="preserve">. They have a responsibility for providing the wider system with intelligence gained through their role as direct commissioners and leaders of the commissioning system. NHS England must </w:t>
      </w:r>
      <w:r w:rsidR="000D27ED">
        <w:t xml:space="preserve">maintain </w:t>
      </w:r>
      <w:r w:rsidR="00AB7802">
        <w:t>mechanism</w:t>
      </w:r>
      <w:r w:rsidR="007C6ACB">
        <w:t>s</w:t>
      </w:r>
      <w:r w:rsidR="00AB7802">
        <w:t xml:space="preserve"> to support this function</w:t>
      </w:r>
      <w:r w:rsidR="003C20EC">
        <w:t>,</w:t>
      </w:r>
      <w:r w:rsidR="00AB7802">
        <w:t xml:space="preserve"> including exploiting opportunities provided by their involvement and participation in local and regional</w:t>
      </w:r>
      <w:r>
        <w:t xml:space="preserve"> </w:t>
      </w:r>
      <w:r w:rsidR="000120C9">
        <w:t>Quality Surveillance Groups</w:t>
      </w:r>
      <w:r w:rsidR="003C20EC">
        <w:t>.</w:t>
      </w:r>
      <w:r w:rsidR="000120C9">
        <w:rPr>
          <w:rStyle w:val="FootnoteReference"/>
        </w:rPr>
        <w:footnoteReference w:id="34"/>
      </w:r>
    </w:p>
    <w:p w:rsidR="007950C5" w:rsidRDefault="007950C5" w:rsidP="007950C5"/>
    <w:p w:rsidR="00AB7802" w:rsidRDefault="007950C5" w:rsidP="007950C5">
      <w:r>
        <w:t xml:space="preserve">In </w:t>
      </w:r>
      <w:r w:rsidR="000D27ED">
        <w:t xml:space="preserve">certain </w:t>
      </w:r>
      <w:r>
        <w:t>circumstances (</w:t>
      </w:r>
      <w:r w:rsidR="000D27ED">
        <w:t>for example with many</w:t>
      </w:r>
      <w:r>
        <w:t xml:space="preserve"> incidents relating to mental health homicide</w:t>
      </w:r>
      <w:r w:rsidR="00F35AA7">
        <w:t xml:space="preserve">, see </w:t>
      </w:r>
      <w:r w:rsidR="003C20EC">
        <w:t>A</w:t>
      </w:r>
      <w:r w:rsidR="00F35AA7">
        <w:t>ppendix 1</w:t>
      </w:r>
      <w:r>
        <w:t xml:space="preserve">) NHS England </w:t>
      </w:r>
      <w:r w:rsidR="00AB7802">
        <w:t>may be required to lead a local, regional or national response (including the commissioning of an</w:t>
      </w:r>
      <w:r>
        <w:t xml:space="preserve"> independent incident investigation</w:t>
      </w:r>
      <w:r w:rsidR="00AB7802">
        <w:t>) depending on the circumstances of the case</w:t>
      </w:r>
      <w:r>
        <w:t>.</w:t>
      </w:r>
      <w:r w:rsidR="00F35AA7">
        <w:t xml:space="preserve"> See </w:t>
      </w:r>
      <w:r w:rsidR="003C20EC">
        <w:t>P</w:t>
      </w:r>
      <w:r w:rsidR="00234DED">
        <w:t xml:space="preserve">art </w:t>
      </w:r>
      <w:r w:rsidR="003C20EC">
        <w:t>T</w:t>
      </w:r>
      <w:r w:rsidR="00234DED">
        <w:t>hree</w:t>
      </w:r>
      <w:r w:rsidR="003C20EC">
        <w:t>,</w:t>
      </w:r>
      <w:r w:rsidR="00234DED">
        <w:t xml:space="preserve"> section 3</w:t>
      </w:r>
      <w:r w:rsidR="005F6C60">
        <w:t xml:space="preserve">.2 and </w:t>
      </w:r>
      <w:r w:rsidR="003C20EC">
        <w:t>A</w:t>
      </w:r>
      <w:r w:rsidR="00F35AA7">
        <w:t xml:space="preserve">ppendix 3 for further details. </w:t>
      </w:r>
    </w:p>
    <w:p w:rsidR="007950C5" w:rsidRDefault="007950C5" w:rsidP="007950C5"/>
    <w:p w:rsidR="00720C05" w:rsidRDefault="006532A1" w:rsidP="00750B4A">
      <w:pPr>
        <w:pStyle w:val="Heading3"/>
      </w:pPr>
      <w:bookmarkStart w:id="37" w:name="_Toc414568049"/>
      <w:r>
        <w:t>3.3.</w:t>
      </w:r>
      <w:r w:rsidR="003C20EC">
        <w:t>1</w:t>
      </w:r>
      <w:r>
        <w:t xml:space="preserve">. </w:t>
      </w:r>
      <w:r w:rsidR="00720C05">
        <w:t>Care Quality Commission (CQC)</w:t>
      </w:r>
      <w:bookmarkEnd w:id="37"/>
      <w:r w:rsidR="00720C05">
        <w:t xml:space="preserve"> </w:t>
      </w:r>
    </w:p>
    <w:p w:rsidR="00720C05" w:rsidRDefault="003C20EC" w:rsidP="00616323">
      <w:r>
        <w:t xml:space="preserve">The </w:t>
      </w:r>
      <w:r w:rsidR="00720C05">
        <w:t xml:space="preserve">CQC makes authoritative judgements on the quality of health and care services, according to whether they are safe, effective, caring, responsive and well-led. </w:t>
      </w:r>
      <w:r w:rsidR="00616323">
        <w:t xml:space="preserve">The chief inspectors rate the quality of providers accordingly, and clearly identify where failures need to be addressed.  </w:t>
      </w:r>
      <w:r w:rsidR="00720C05">
        <w:t xml:space="preserve">They have a role in </w:t>
      </w:r>
      <w:r w:rsidR="00ED70F7">
        <w:t xml:space="preserve">encouraging </w:t>
      </w:r>
      <w:r w:rsidR="00720C05">
        <w:t xml:space="preserve">improvement and </w:t>
      </w:r>
      <w:r w:rsidR="00ED70F7">
        <w:t xml:space="preserve">may </w:t>
      </w:r>
      <w:r w:rsidR="00720C05">
        <w:t>use the details of incident reports, investigations and action plans to monitor organisations’ compliance with essential standards of quality and safety, to assess risks to quality and to respond accordingly. The CQC work</w:t>
      </w:r>
      <w:r w:rsidR="00ED70F7">
        <w:t>s</w:t>
      </w:r>
      <w:r w:rsidR="00720C05">
        <w:t xml:space="preserve"> closely with commissioners and providers to gather intelligence and information as part of their pre-inspection process.</w:t>
      </w:r>
      <w:r w:rsidR="00124268">
        <w:t xml:space="preserve"> </w:t>
      </w:r>
      <w:r w:rsidR="00ED70F7">
        <w:t xml:space="preserve">The Health and Social Care Act </w:t>
      </w:r>
      <w:r w:rsidR="00124268">
        <w:t xml:space="preserve">sets specific requirements for registered organisations in relation to the type of incidents that must be reported to them. Further details are published online: </w:t>
      </w:r>
      <w:hyperlink r:id="rId20" w:history="1">
        <w:r w:rsidR="00124268" w:rsidRPr="00B92E18">
          <w:rPr>
            <w:rStyle w:val="Hyperlink"/>
          </w:rPr>
          <w:t>http://www.cqc.org.uk/organisations-we-regulate/registered-services/notifications</w:t>
        </w:r>
      </w:hyperlink>
      <w:r w:rsidR="00124268">
        <w:t xml:space="preserve"> </w:t>
      </w:r>
    </w:p>
    <w:p w:rsidR="00720C05" w:rsidRDefault="00720C05" w:rsidP="00720C05"/>
    <w:p w:rsidR="00720C05" w:rsidRDefault="006532A1" w:rsidP="00750B4A">
      <w:pPr>
        <w:pStyle w:val="Heading3"/>
      </w:pPr>
      <w:bookmarkStart w:id="38" w:name="_Toc414568050"/>
      <w:r>
        <w:t>3.3.</w:t>
      </w:r>
      <w:r w:rsidR="003C20EC">
        <w:t>2</w:t>
      </w:r>
      <w:r>
        <w:t xml:space="preserve">. </w:t>
      </w:r>
      <w:r w:rsidR="00720C05">
        <w:t>Monitor</w:t>
      </w:r>
      <w:bookmarkEnd w:id="38"/>
    </w:p>
    <w:p w:rsidR="007950C5" w:rsidRDefault="00720C05" w:rsidP="00720C05">
      <w:r>
        <w:t>Monitor will rely on commissioners’ information and intelligence to inform both their monitoring of existing NHS Foundation Trusts, and the authorisation process for new NHS Foundation Trusts. Monitor</w:t>
      </w:r>
      <w:r w:rsidR="00EF0D32">
        <w:t xml:space="preserve"> will</w:t>
      </w:r>
      <w:r>
        <w:t xml:space="preserve"> use the details of serious incident reports, investigations and action plans to monitor Foundation Trusts’ compliance with essential standards of quality and safety and their licence terms. Monitor can take </w:t>
      </w:r>
      <w:r>
        <w:lastRenderedPageBreak/>
        <w:t>action where there are quality problems as a result of poor governance within Foundation Trusts. This is usually triggered by findings from CQC, but commissioners can refe</w:t>
      </w:r>
      <w:r w:rsidR="00124268">
        <w:t>r issues directly to Monitor</w:t>
      </w:r>
      <w:r>
        <w:t>. Monitor will work with partners to facilitate learning and sharing throughout the healthcare system. Monitor requires NHS foundation Trusts to inform them about relevant serious incidents (i.e. any incidents which may reasonably be regarded as raising potential concerns over compliance with their licence).</w:t>
      </w:r>
    </w:p>
    <w:p w:rsidR="00720C05" w:rsidRDefault="00720C05" w:rsidP="00720C05"/>
    <w:p w:rsidR="00720C05" w:rsidRDefault="000D27ED" w:rsidP="0072371B">
      <w:pPr>
        <w:pStyle w:val="Heading3"/>
        <w:numPr>
          <w:ilvl w:val="2"/>
          <w:numId w:val="71"/>
        </w:numPr>
      </w:pPr>
      <w:bookmarkStart w:id="39" w:name="_Toc414568051"/>
      <w:r>
        <w:t xml:space="preserve">NHS </w:t>
      </w:r>
      <w:r w:rsidR="00452445">
        <w:t>Trust Development Authority (</w:t>
      </w:r>
      <w:r w:rsidR="007B3224">
        <w:t>TDA</w:t>
      </w:r>
      <w:r w:rsidR="00452445">
        <w:t>)</w:t>
      </w:r>
      <w:bookmarkEnd w:id="39"/>
    </w:p>
    <w:p w:rsidR="009437F2" w:rsidRPr="009437F2" w:rsidRDefault="009437F2" w:rsidP="009437F2">
      <w:r w:rsidRPr="009437F2">
        <w:t>The TDA will support NHS trusts in ensuring they have effective systems and processes in place to report, investigate and respond to serious incidents in line with national policy and best practice. It will work in partnership with the relevant commissioner</w:t>
      </w:r>
      <w:r w:rsidR="00124268">
        <w:t xml:space="preserve"> (s) </w:t>
      </w:r>
      <w:r w:rsidRPr="009437F2">
        <w:t>responsible for holding trusts to account for their responses to serious incidents.</w:t>
      </w:r>
    </w:p>
    <w:p w:rsidR="00452445" w:rsidRDefault="00452445" w:rsidP="00452445"/>
    <w:p w:rsidR="009437F2" w:rsidRDefault="009437F2" w:rsidP="009437F2">
      <w:r>
        <w:t>The TDA will specifically:</w:t>
      </w:r>
    </w:p>
    <w:p w:rsidR="009437F2" w:rsidRDefault="009437F2" w:rsidP="009437F2"/>
    <w:p w:rsidR="009437F2" w:rsidRDefault="009437F2" w:rsidP="002F11B3">
      <w:pPr>
        <w:pStyle w:val="ListParagraph"/>
        <w:numPr>
          <w:ilvl w:val="0"/>
          <w:numId w:val="12"/>
        </w:numPr>
      </w:pPr>
      <w:r>
        <w:t>Ensure that NHS Trusts have appropriate systems and processes in place to respond to serious incidents, undertake credible investigations and follow through on action plans;</w:t>
      </w:r>
    </w:p>
    <w:p w:rsidR="009437F2" w:rsidRDefault="009437F2" w:rsidP="002F11B3">
      <w:pPr>
        <w:pStyle w:val="ListParagraph"/>
        <w:numPr>
          <w:ilvl w:val="0"/>
          <w:numId w:val="12"/>
        </w:numPr>
      </w:pPr>
      <w:r>
        <w:t xml:space="preserve">Ensure NHS </w:t>
      </w:r>
      <w:r w:rsidR="003C20EC">
        <w:t>T</w:t>
      </w:r>
      <w:r>
        <w:t>rusts have formal arrangements in place with commissioners to secure appropriate and timely c</w:t>
      </w:r>
      <w:r w:rsidR="00E140DE">
        <w:t>losure of serious incident investigations</w:t>
      </w:r>
      <w:r>
        <w:t>;</w:t>
      </w:r>
    </w:p>
    <w:p w:rsidR="009437F2" w:rsidRDefault="009437F2" w:rsidP="002F11B3">
      <w:pPr>
        <w:pStyle w:val="ListParagraph"/>
        <w:numPr>
          <w:ilvl w:val="0"/>
          <w:numId w:val="12"/>
        </w:numPr>
      </w:pPr>
      <w:r>
        <w:t xml:space="preserve">Ensure NHS Trusts have mechanisms in place to learn from incidents which </w:t>
      </w:r>
      <w:r w:rsidR="003C20EC">
        <w:t xml:space="preserve">are </w:t>
      </w:r>
      <w:r>
        <w:t>disseminated throughout the organisation</w:t>
      </w:r>
      <w:r w:rsidR="00E140DE">
        <w:t>;</w:t>
      </w:r>
    </w:p>
    <w:p w:rsidR="009437F2" w:rsidRDefault="009437F2" w:rsidP="002F11B3">
      <w:pPr>
        <w:pStyle w:val="ListParagraph"/>
        <w:numPr>
          <w:ilvl w:val="0"/>
          <w:numId w:val="12"/>
        </w:numPr>
      </w:pPr>
      <w:r>
        <w:t>Where appropriate, review Trusts</w:t>
      </w:r>
      <w:r w:rsidR="00492256">
        <w:t>’</w:t>
      </w:r>
      <w:r>
        <w:t xml:space="preserve"> Serious Incident policies and support Trusts to develop their policies to achieve desired improvements relating to the reporting and </w:t>
      </w:r>
      <w:r w:rsidR="00E140DE">
        <w:t>management of Serious Incidents;</w:t>
      </w:r>
    </w:p>
    <w:p w:rsidR="009437F2" w:rsidRDefault="009437F2" w:rsidP="002F11B3">
      <w:pPr>
        <w:pStyle w:val="ListParagraph"/>
        <w:numPr>
          <w:ilvl w:val="0"/>
          <w:numId w:val="12"/>
        </w:numPr>
      </w:pPr>
      <w:r>
        <w:t>Use information about serious incidents as a component of the overall surveillance of quality</w:t>
      </w:r>
      <w:r w:rsidR="003C20EC">
        <w:t>;</w:t>
      </w:r>
      <w:r>
        <w:t xml:space="preserve"> in particular, the analysis of serious incident data</w:t>
      </w:r>
      <w:r w:rsidR="0003509F">
        <w:t xml:space="preserve"> is used</w:t>
      </w:r>
      <w:r w:rsidR="003C20EC">
        <w:t xml:space="preserve"> to</w:t>
      </w:r>
      <w:r w:rsidR="0003509F">
        <w:t xml:space="preserve"> provide information </w:t>
      </w:r>
      <w:r>
        <w:t xml:space="preserve"> about provider organisations</w:t>
      </w:r>
      <w:r w:rsidR="0003509F">
        <w:t>,</w:t>
      </w:r>
      <w:r>
        <w:t xml:space="preserve"> to assure the quality of care and inform the assessment of NHS trust applications for Foundation Trust status; </w:t>
      </w:r>
    </w:p>
    <w:p w:rsidR="009437F2" w:rsidRDefault="009437F2" w:rsidP="002F11B3">
      <w:pPr>
        <w:pStyle w:val="ListParagraph"/>
        <w:numPr>
          <w:ilvl w:val="0"/>
          <w:numId w:val="12"/>
        </w:numPr>
      </w:pPr>
      <w:r>
        <w:t>Share information and liaise with  NHS England, CQC, professional regulators and other stakeholders, especially those associated with quality surveillance groups;</w:t>
      </w:r>
    </w:p>
    <w:p w:rsidR="009437F2" w:rsidRPr="00452445" w:rsidRDefault="003C20EC" w:rsidP="002F11B3">
      <w:pPr>
        <w:pStyle w:val="ListParagraph"/>
        <w:numPr>
          <w:ilvl w:val="0"/>
          <w:numId w:val="12"/>
        </w:numPr>
      </w:pPr>
      <w:r>
        <w:t>W</w:t>
      </w:r>
      <w:r w:rsidR="009437F2">
        <w:t xml:space="preserve">ork with NHS </w:t>
      </w:r>
      <w:r>
        <w:t>T</w:t>
      </w:r>
      <w:r w:rsidR="009437F2">
        <w:t xml:space="preserve">rusts to improve the quality of </w:t>
      </w:r>
      <w:r w:rsidR="00CE20C8">
        <w:t xml:space="preserve"> investigations</w:t>
      </w:r>
    </w:p>
    <w:p w:rsidR="0086506C" w:rsidRDefault="005D2131" w:rsidP="001D3373">
      <w:pPr>
        <w:pStyle w:val="Heading1"/>
        <w:ind w:left="432" w:hanging="432"/>
      </w:pPr>
      <w:r>
        <w:br w:type="page"/>
      </w:r>
      <w:bookmarkStart w:id="40" w:name="_Toc414568052"/>
      <w:r w:rsidR="007405CE">
        <w:lastRenderedPageBreak/>
        <w:t>Part Three</w:t>
      </w:r>
      <w:r w:rsidR="001D3373">
        <w:t xml:space="preserve">: </w:t>
      </w:r>
      <w:r w:rsidR="00B87DD9">
        <w:t xml:space="preserve">The </w:t>
      </w:r>
      <w:r w:rsidR="002275B0">
        <w:t>Serious Incident Management</w:t>
      </w:r>
      <w:r w:rsidR="00B87DD9">
        <w:t xml:space="preserve"> Process</w:t>
      </w:r>
      <w:bookmarkEnd w:id="40"/>
    </w:p>
    <w:p w:rsidR="003A0E06" w:rsidRPr="009C1A45" w:rsidRDefault="003A0E06" w:rsidP="003A0E06">
      <w:pPr>
        <w:rPr>
          <w:sz w:val="16"/>
          <w:szCs w:val="16"/>
        </w:rPr>
      </w:pPr>
    </w:p>
    <w:p w:rsidR="00CC7ED8" w:rsidRDefault="00C667BA" w:rsidP="00CC7ED8">
      <w:pPr>
        <w:pStyle w:val="Heading1"/>
        <w:numPr>
          <w:ilvl w:val="0"/>
          <w:numId w:val="8"/>
        </w:numPr>
      </w:pPr>
      <w:bookmarkStart w:id="41" w:name="_Toc414568053"/>
      <w:r w:rsidRPr="00C667BA">
        <w:t>Overview of the Serious Incident Management Process</w:t>
      </w:r>
      <w:bookmarkEnd w:id="41"/>
    </w:p>
    <w:p w:rsidR="00026270" w:rsidRPr="00026270" w:rsidRDefault="00026270" w:rsidP="00026270"/>
    <w:p w:rsidR="009A19FC" w:rsidRPr="009A19FC" w:rsidRDefault="00D22813" w:rsidP="000E1D84">
      <w:pPr>
        <w:pStyle w:val="Heading2"/>
        <w:ind w:hanging="709"/>
      </w:pPr>
      <w:bookmarkStart w:id="42" w:name="_Toc414568054"/>
      <w:r>
        <w:rPr>
          <w:noProof/>
          <w:lang w:eastAsia="en-GB"/>
        </w:rPr>
        <mc:AlternateContent>
          <mc:Choice Requires="wpc">
            <w:drawing>
              <wp:inline distT="0" distB="0" distL="0" distR="0" wp14:anchorId="0EB4789C" wp14:editId="3C83ACBF">
                <wp:extent cx="6572250" cy="7658100"/>
                <wp:effectExtent l="57150" t="19050" r="95250" b="11430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1" name="Rectangle 131"/>
                        <wps:cNvSpPr/>
                        <wps:spPr>
                          <a:xfrm>
                            <a:off x="4096992" y="1050639"/>
                            <a:ext cx="857251" cy="345826"/>
                          </a:xfrm>
                          <a:prstGeom prst="rect">
                            <a:avLst/>
                          </a:prstGeom>
                          <a:solidFill>
                            <a:sysClr val="window" lastClr="FFFFFF"/>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rsidR="0098525C" w:rsidRPr="00F31565" w:rsidRDefault="0098525C" w:rsidP="001C2A5F">
                              <w:pPr>
                                <w:pStyle w:val="NormalWeb"/>
                                <w:spacing w:before="0" w:beforeAutospacing="0" w:after="0" w:afterAutospacing="0"/>
                                <w:jc w:val="center"/>
                                <w:rPr>
                                  <w:rFonts w:ascii="Arial" w:hAnsi="Arial" w:cs="Arial"/>
                                  <w:b/>
                                  <w:color w:val="C00000"/>
                                  <w:sz w:val="18"/>
                                  <w:szCs w:val="18"/>
                                </w:rPr>
                              </w:pPr>
                              <w:r w:rsidRPr="00F31565">
                                <w:rPr>
                                  <w:rFonts w:ascii="Arial" w:hAnsi="Arial" w:cs="Arial"/>
                                  <w:b/>
                                  <w:color w:val="C00000"/>
                                  <w:sz w:val="18"/>
                                  <w:szCs w:val="18"/>
                                </w:rPr>
                                <w:t>Unknown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2381250" y="19050"/>
                            <a:ext cx="2046900" cy="314325"/>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98525C" w:rsidRPr="00D13E4D" w:rsidRDefault="0098525C" w:rsidP="00D13E4D">
                              <w:pPr>
                                <w:jc w:val="center"/>
                                <w:rPr>
                                  <w:sz w:val="18"/>
                                </w:rPr>
                              </w:pPr>
                              <w:r>
                                <w:rPr>
                                  <w:sz w:val="18"/>
                                </w:rPr>
                                <w:t>Incident occurs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2181225" y="466726"/>
                            <a:ext cx="2495550" cy="377100"/>
                          </a:xfrm>
                          <a:prstGeom prst="rect">
                            <a:avLst/>
                          </a:prstGeom>
                          <a:gradFill rotWithShape="1">
                            <a:gsLst>
                              <a:gs pos="0">
                                <a:srgbClr val="0091C9">
                                  <a:shade val="51000"/>
                                  <a:satMod val="130000"/>
                                </a:srgbClr>
                              </a:gs>
                              <a:gs pos="80000">
                                <a:srgbClr val="0091C9">
                                  <a:shade val="93000"/>
                                  <a:satMod val="130000"/>
                                </a:srgbClr>
                              </a:gs>
                              <a:gs pos="100000">
                                <a:srgbClr val="0091C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style>
                          <a:lnRef idx="0">
                            <a:schemeClr val="accent4"/>
                          </a:lnRef>
                          <a:fillRef idx="3">
                            <a:schemeClr val="accent4"/>
                          </a:fillRef>
                          <a:effectRef idx="3">
                            <a:schemeClr val="accent4"/>
                          </a:effectRef>
                          <a:fontRef idx="minor">
                            <a:schemeClr val="lt1"/>
                          </a:fontRef>
                        </wps:style>
                        <wps:txbx>
                          <w:txbxContent>
                            <w:p w:rsidR="0098525C" w:rsidRPr="00D13E4D" w:rsidRDefault="0098525C" w:rsidP="00D13E4D">
                              <w:pPr>
                                <w:jc w:val="center"/>
                                <w:rPr>
                                  <w:sz w:val="18"/>
                                </w:rPr>
                              </w:pPr>
                              <w:r>
                                <w:rPr>
                                  <w:sz w:val="18"/>
                                </w:rPr>
                                <w:t>Report on LRMS/ NRLS and to other bodies such as safeguarding lead as applicable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713400" y="1014300"/>
                            <a:ext cx="1467825" cy="478200"/>
                          </a:xfrm>
                          <a:prstGeom prst="rect">
                            <a:avLst/>
                          </a:prstGeom>
                          <a:gradFill rotWithShape="1">
                            <a:gsLst>
                              <a:gs pos="0">
                                <a:srgbClr val="0091C9">
                                  <a:shade val="51000"/>
                                  <a:satMod val="130000"/>
                                </a:srgbClr>
                              </a:gs>
                              <a:gs pos="80000">
                                <a:srgbClr val="0091C9">
                                  <a:shade val="93000"/>
                                  <a:satMod val="130000"/>
                                </a:srgbClr>
                              </a:gs>
                              <a:gs pos="100000">
                                <a:srgbClr val="0091C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style>
                          <a:lnRef idx="0">
                            <a:schemeClr val="accent4"/>
                          </a:lnRef>
                          <a:fillRef idx="3">
                            <a:schemeClr val="accent4"/>
                          </a:fillRef>
                          <a:effectRef idx="3">
                            <a:schemeClr val="accent4"/>
                          </a:effectRef>
                          <a:fontRef idx="minor">
                            <a:schemeClr val="lt1"/>
                          </a:fontRef>
                        </wps:style>
                        <wps:txbx>
                          <w:txbxContent>
                            <w:p w:rsidR="0098525C" w:rsidRPr="00D13E4D" w:rsidRDefault="0098525C" w:rsidP="00CC7ED8">
                              <w:pPr>
                                <w:rPr>
                                  <w:sz w:val="18"/>
                                </w:rPr>
                              </w:pPr>
                              <w:r w:rsidRPr="00D13E4D">
                                <w:rPr>
                                  <w:sz w:val="18"/>
                                </w:rPr>
                                <w:t>Manage in line with local risk management</w:t>
                              </w:r>
                              <w:r>
                                <w:rPr>
                                  <w:sz w:val="18"/>
                                </w:rPr>
                                <w:t xml:space="preserve"> policy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4838699" y="1171109"/>
                            <a:ext cx="1685925" cy="450600"/>
                          </a:xfrm>
                          <a:prstGeom prst="rect">
                            <a:avLst/>
                          </a:prstGeom>
                          <a:gradFill rotWithShape="1">
                            <a:gsLst>
                              <a:gs pos="0">
                                <a:srgbClr val="0091C9">
                                  <a:shade val="51000"/>
                                  <a:satMod val="130000"/>
                                </a:srgbClr>
                              </a:gs>
                              <a:gs pos="80000">
                                <a:srgbClr val="0091C9">
                                  <a:shade val="93000"/>
                                  <a:satMod val="130000"/>
                                </a:srgbClr>
                              </a:gs>
                              <a:gs pos="100000">
                                <a:srgbClr val="0091C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style>
                          <a:lnRef idx="0">
                            <a:schemeClr val="accent4"/>
                          </a:lnRef>
                          <a:fillRef idx="3">
                            <a:schemeClr val="accent4"/>
                          </a:fillRef>
                          <a:effectRef idx="3">
                            <a:schemeClr val="accent4"/>
                          </a:effectRef>
                          <a:fontRef idx="minor">
                            <a:schemeClr val="lt1"/>
                          </a:fontRef>
                        </wps:style>
                        <wps:txbx>
                          <w:txbxContent>
                            <w:p w:rsidR="0098525C" w:rsidRPr="00D13E4D" w:rsidRDefault="0098525C" w:rsidP="00CC7ED8">
                              <w:pPr>
                                <w:rPr>
                                  <w:sz w:val="18"/>
                                </w:rPr>
                              </w:pPr>
                              <w:r>
                                <w:rPr>
                                  <w:sz w:val="18"/>
                                </w:rPr>
                                <w:t>Review and discuss with commissioner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Down Arrow 42"/>
                        <wps:cNvSpPr/>
                        <wps:spPr>
                          <a:xfrm>
                            <a:off x="0" y="19051"/>
                            <a:ext cx="838200" cy="2743200"/>
                          </a:xfrm>
                          <a:prstGeom prst="downArrow">
                            <a:avLst/>
                          </a:prstGeom>
                        </wps:spPr>
                        <wps:style>
                          <a:lnRef idx="0">
                            <a:schemeClr val="accent3"/>
                          </a:lnRef>
                          <a:fillRef idx="3">
                            <a:schemeClr val="accent3"/>
                          </a:fillRef>
                          <a:effectRef idx="3">
                            <a:schemeClr val="accent3"/>
                          </a:effectRef>
                          <a:fontRef idx="minor">
                            <a:schemeClr val="lt1"/>
                          </a:fontRef>
                        </wps:style>
                        <wps:txbx>
                          <w:txbxContent>
                            <w:p w:rsidR="0098525C" w:rsidRPr="008371EB" w:rsidRDefault="0098525C" w:rsidP="008371EB">
                              <w:pPr>
                                <w:jc w:val="center"/>
                                <w:rPr>
                                  <w:sz w:val="18"/>
                                </w:rPr>
                              </w:pPr>
                              <w:r>
                                <w:rPr>
                                  <w:sz w:val="18"/>
                                </w:rPr>
                                <w:t>Within 2 working days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43" name="Diamond 43"/>
                        <wps:cNvSpPr/>
                        <wps:spPr>
                          <a:xfrm>
                            <a:off x="2581274" y="1041900"/>
                            <a:ext cx="1846875" cy="691651"/>
                          </a:xfrm>
                          <a:prstGeom prst="diamond">
                            <a:avLst/>
                          </a:prstGeom>
                        </wps:spPr>
                        <wps:style>
                          <a:lnRef idx="0">
                            <a:schemeClr val="accent2"/>
                          </a:lnRef>
                          <a:fillRef idx="3">
                            <a:schemeClr val="accent2"/>
                          </a:fillRef>
                          <a:effectRef idx="3">
                            <a:schemeClr val="accent2"/>
                          </a:effectRef>
                          <a:fontRef idx="minor">
                            <a:schemeClr val="lt1"/>
                          </a:fontRef>
                        </wps:style>
                        <wps:txbx>
                          <w:txbxContent>
                            <w:p w:rsidR="0098525C" w:rsidRPr="00D13E4D" w:rsidRDefault="0098525C" w:rsidP="00D13E4D">
                              <w:pPr>
                                <w:jc w:val="center"/>
                                <w:rPr>
                                  <w:b/>
                                  <w:sz w:val="18"/>
                                </w:rPr>
                              </w:pPr>
                              <w:r w:rsidRPr="00D13E4D">
                                <w:rPr>
                                  <w:b/>
                                  <w:sz w:val="18"/>
                                </w:rPr>
                                <w:t>Is it a serious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885824" y="1866902"/>
                            <a:ext cx="1390650" cy="518490"/>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98525C" w:rsidRPr="00D13E4D" w:rsidRDefault="0098525C" w:rsidP="00D13E4D">
                              <w:pPr>
                                <w:jc w:val="center"/>
                                <w:rPr>
                                  <w:sz w:val="18"/>
                                </w:rPr>
                              </w:pPr>
                              <w:r>
                                <w:rPr>
                                  <w:sz w:val="18"/>
                                </w:rPr>
                                <w:t xml:space="preserve">Engage with those involved/affected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2466975" y="2266950"/>
                            <a:ext cx="1838325" cy="447675"/>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98525C" w:rsidRPr="00D13E4D" w:rsidRDefault="0098525C" w:rsidP="00D13E4D">
                              <w:pPr>
                                <w:jc w:val="center"/>
                                <w:rPr>
                                  <w:sz w:val="18"/>
                                </w:rPr>
                              </w:pPr>
                              <w:r>
                                <w:rPr>
                                  <w:sz w:val="18"/>
                                </w:rPr>
                                <w:t>Report on STEIS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4686299" y="1838325"/>
                            <a:ext cx="1770675" cy="609599"/>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98525C" w:rsidRPr="00D13E4D" w:rsidRDefault="0098525C" w:rsidP="00D13E4D">
                              <w:pPr>
                                <w:jc w:val="center"/>
                                <w:rPr>
                                  <w:sz w:val="18"/>
                                </w:rPr>
                              </w:pPr>
                              <w:r>
                                <w:rPr>
                                  <w:sz w:val="18"/>
                                </w:rPr>
                                <w:t>Report/notify other stakeholders as required e.g. safeguarding, CQC,TDA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353671" y="2867025"/>
                            <a:ext cx="3953435" cy="561976"/>
                          </a:xfrm>
                          <a:prstGeom prst="rect">
                            <a:avLst/>
                          </a:prstGeom>
                          <a:ln/>
                        </wps:spPr>
                        <wps:style>
                          <a:lnRef idx="0">
                            <a:schemeClr val="accent3"/>
                          </a:lnRef>
                          <a:fillRef idx="3">
                            <a:schemeClr val="accent3"/>
                          </a:fillRef>
                          <a:effectRef idx="3">
                            <a:schemeClr val="accent3"/>
                          </a:effectRef>
                          <a:fontRef idx="minor">
                            <a:schemeClr val="lt1"/>
                          </a:fontRef>
                        </wps:style>
                        <wps:txbx>
                          <w:txbxContent>
                            <w:p w:rsidR="0098525C" w:rsidRPr="007C6196" w:rsidRDefault="0098525C" w:rsidP="007C6196">
                              <w:pPr>
                                <w:jc w:val="center"/>
                                <w:rPr>
                                  <w:sz w:val="18"/>
                                </w:rPr>
                              </w:pPr>
                              <w:r w:rsidRPr="007C6196">
                                <w:rPr>
                                  <w:sz w:val="18"/>
                                </w:rPr>
                                <w:t>C</w:t>
                              </w:r>
                              <w:r>
                                <w:rPr>
                                  <w:sz w:val="18"/>
                                </w:rPr>
                                <w:t>omplete</w:t>
                              </w:r>
                              <w:r w:rsidRPr="007C6196">
                                <w:rPr>
                                  <w:sz w:val="18"/>
                                </w:rPr>
                                <w:t xml:space="preserve"> initial review</w:t>
                              </w:r>
                              <w:r>
                                <w:rPr>
                                  <w:sz w:val="18"/>
                                </w:rPr>
                                <w:t xml:space="preserve"> and submit to commissioner where possible this should be the provider’s ‘lead commissioner’ who can liaise with others as required. This should be outlined in the RASCI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2105027" y="3533776"/>
                            <a:ext cx="2571748" cy="390524"/>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98525C" w:rsidRPr="007C6196" w:rsidRDefault="0098525C" w:rsidP="007C6196">
                              <w:pPr>
                                <w:jc w:val="center"/>
                                <w:rPr>
                                  <w:sz w:val="18"/>
                                </w:rPr>
                              </w:pPr>
                              <w:r>
                                <w:rPr>
                                  <w:sz w:val="18"/>
                                </w:rPr>
                                <w:t>Confirm level of investigation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own Arrow 50"/>
                        <wps:cNvSpPr/>
                        <wps:spPr>
                          <a:xfrm>
                            <a:off x="9524" y="2762251"/>
                            <a:ext cx="876300" cy="1295400"/>
                          </a:xfrm>
                          <a:prstGeom prst="downArrow">
                            <a:avLst/>
                          </a:prstGeom>
                        </wps:spPr>
                        <wps:style>
                          <a:lnRef idx="0">
                            <a:schemeClr val="accent4"/>
                          </a:lnRef>
                          <a:fillRef idx="3">
                            <a:schemeClr val="accent4"/>
                          </a:fillRef>
                          <a:effectRef idx="3">
                            <a:schemeClr val="accent4"/>
                          </a:effectRef>
                          <a:fontRef idx="minor">
                            <a:schemeClr val="lt1"/>
                          </a:fontRef>
                        </wps:style>
                        <wps:txbx>
                          <w:txbxContent>
                            <w:p w:rsidR="0098525C" w:rsidRPr="008371EB" w:rsidRDefault="0098525C" w:rsidP="008371EB">
                              <w:pPr>
                                <w:jc w:val="center"/>
                                <w:rPr>
                                  <w:sz w:val="12"/>
                                </w:rPr>
                              </w:pPr>
                              <w:r w:rsidRPr="008371EB">
                                <w:rPr>
                                  <w:sz w:val="18"/>
                                </w:rPr>
                                <w:t>Within</w:t>
                              </w:r>
                              <w:r>
                                <w:rPr>
                                  <w:sz w:val="18"/>
                                </w:rPr>
                                <w:t xml:space="preserve"> 3 working days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1" name="Rectangle 51"/>
                        <wps:cNvSpPr/>
                        <wps:spPr>
                          <a:xfrm>
                            <a:off x="1600201" y="4057650"/>
                            <a:ext cx="3495675" cy="342900"/>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98525C" w:rsidRPr="007C6196" w:rsidRDefault="0098525C" w:rsidP="007C6196">
                              <w:pPr>
                                <w:jc w:val="center"/>
                                <w:rPr>
                                  <w:sz w:val="18"/>
                                </w:rPr>
                              </w:pPr>
                              <w:r>
                                <w:rPr>
                                  <w:sz w:val="18"/>
                                </w:rPr>
                                <w:t>Lead investigator identified. Team established. Terms of reference set. Management plan established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Pentagon 54"/>
                        <wps:cNvSpPr/>
                        <wps:spPr>
                          <a:xfrm>
                            <a:off x="1600200" y="4962525"/>
                            <a:ext cx="1295400" cy="514350"/>
                          </a:xfrm>
                          <a:prstGeom prst="homePlate">
                            <a:avLst/>
                          </a:prstGeom>
                        </wps:spPr>
                        <wps:style>
                          <a:lnRef idx="0">
                            <a:schemeClr val="accent2"/>
                          </a:lnRef>
                          <a:fillRef idx="3">
                            <a:schemeClr val="accent2"/>
                          </a:fillRef>
                          <a:effectRef idx="3">
                            <a:schemeClr val="accent2"/>
                          </a:effectRef>
                          <a:fontRef idx="minor">
                            <a:schemeClr val="lt1"/>
                          </a:fontRef>
                        </wps:style>
                        <wps:txbx>
                          <w:txbxContent>
                            <w:p w:rsidR="0098525C" w:rsidRPr="007C6196" w:rsidRDefault="0098525C" w:rsidP="007C6196">
                              <w:pPr>
                                <w:jc w:val="center"/>
                                <w:rPr>
                                  <w:sz w:val="18"/>
                                </w:rPr>
                              </w:pPr>
                              <w:r>
                                <w:rPr>
                                  <w:sz w:val="18"/>
                                </w:rPr>
                                <w:t>Gathering and mapping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Pentagon 55"/>
                        <wps:cNvSpPr/>
                        <wps:spPr>
                          <a:xfrm>
                            <a:off x="2895600" y="4962525"/>
                            <a:ext cx="1209674" cy="514350"/>
                          </a:xfrm>
                          <a:prstGeom prst="homePlate">
                            <a:avLst/>
                          </a:prstGeom>
                        </wps:spPr>
                        <wps:style>
                          <a:lnRef idx="0">
                            <a:schemeClr val="accent2"/>
                          </a:lnRef>
                          <a:fillRef idx="3">
                            <a:schemeClr val="accent2"/>
                          </a:fillRef>
                          <a:effectRef idx="3">
                            <a:schemeClr val="accent2"/>
                          </a:effectRef>
                          <a:fontRef idx="minor">
                            <a:schemeClr val="lt1"/>
                          </a:fontRef>
                        </wps:style>
                        <wps:txbx>
                          <w:txbxContent>
                            <w:p w:rsidR="0098525C" w:rsidRPr="007C6196" w:rsidRDefault="0098525C" w:rsidP="007C6196">
                              <w:pPr>
                                <w:jc w:val="center"/>
                                <w:rPr>
                                  <w:sz w:val="18"/>
                                </w:rPr>
                              </w:pPr>
                              <w:r>
                                <w:rPr>
                                  <w:sz w:val="18"/>
                                </w:rPr>
                                <w:t>Analysing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Pentagon 56"/>
                        <wps:cNvSpPr/>
                        <wps:spPr>
                          <a:xfrm>
                            <a:off x="4105275" y="4962525"/>
                            <a:ext cx="1142999" cy="514350"/>
                          </a:xfrm>
                          <a:prstGeom prst="homePlate">
                            <a:avLst/>
                          </a:prstGeom>
                        </wps:spPr>
                        <wps:style>
                          <a:lnRef idx="0">
                            <a:schemeClr val="accent2"/>
                          </a:lnRef>
                          <a:fillRef idx="3">
                            <a:schemeClr val="accent2"/>
                          </a:fillRef>
                          <a:effectRef idx="3">
                            <a:schemeClr val="accent2"/>
                          </a:effectRef>
                          <a:fontRef idx="minor">
                            <a:schemeClr val="lt1"/>
                          </a:fontRef>
                        </wps:style>
                        <wps:txbx>
                          <w:txbxContent>
                            <w:p w:rsidR="0098525C" w:rsidRPr="007C6196" w:rsidRDefault="0098525C" w:rsidP="007C6196">
                              <w:pPr>
                                <w:jc w:val="center"/>
                                <w:rPr>
                                  <w:sz w:val="18"/>
                                </w:rPr>
                              </w:pPr>
                              <w:r>
                                <w:rPr>
                                  <w:sz w:val="18"/>
                                </w:rPr>
                                <w:t>Generating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600200" y="4505325"/>
                            <a:ext cx="3495675" cy="323850"/>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98525C" w:rsidRPr="007C6196" w:rsidRDefault="0098525C" w:rsidP="007C6196">
                              <w:pPr>
                                <w:jc w:val="center"/>
                                <w:rPr>
                                  <w:sz w:val="18"/>
                                </w:rPr>
                              </w:pPr>
                              <w:r>
                                <w:rPr>
                                  <w:sz w:val="18"/>
                                </w:rPr>
                                <w:t>Undertake the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Down Arrow 58"/>
                        <wps:cNvSpPr/>
                        <wps:spPr>
                          <a:xfrm>
                            <a:off x="0" y="4057651"/>
                            <a:ext cx="885824" cy="1914525"/>
                          </a:xfrm>
                          <a:prstGeom prst="downArrow">
                            <a:avLst/>
                          </a:prstGeom>
                        </wps:spPr>
                        <wps:style>
                          <a:lnRef idx="0">
                            <a:schemeClr val="accent4"/>
                          </a:lnRef>
                          <a:fillRef idx="3">
                            <a:schemeClr val="accent4"/>
                          </a:fillRef>
                          <a:effectRef idx="3">
                            <a:schemeClr val="accent4"/>
                          </a:effectRef>
                          <a:fontRef idx="minor">
                            <a:schemeClr val="lt1"/>
                          </a:fontRef>
                        </wps:style>
                        <wps:txbx>
                          <w:txbxContent>
                            <w:p w:rsidR="0098525C" w:rsidRPr="008A766D" w:rsidRDefault="0098525C" w:rsidP="008A766D">
                              <w:pPr>
                                <w:jc w:val="center"/>
                                <w:rPr>
                                  <w:sz w:val="18"/>
                                </w:rPr>
                              </w:pPr>
                              <w:r>
                                <w:rPr>
                                  <w:sz w:val="18"/>
                                </w:rPr>
                                <w:t>60 working days or 6 months for independent investigation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9" name="Down Arrow 59"/>
                        <wps:cNvSpPr/>
                        <wps:spPr>
                          <a:xfrm>
                            <a:off x="57150" y="6000752"/>
                            <a:ext cx="733425" cy="876300"/>
                          </a:xfrm>
                          <a:prstGeom prst="downArrow">
                            <a:avLst>
                              <a:gd name="adj1" fmla="val 50000"/>
                              <a:gd name="adj2" fmla="val 38312"/>
                            </a:avLst>
                          </a:prstGeom>
                        </wps:spPr>
                        <wps:style>
                          <a:lnRef idx="0">
                            <a:schemeClr val="accent4"/>
                          </a:lnRef>
                          <a:fillRef idx="3">
                            <a:schemeClr val="accent4"/>
                          </a:fillRef>
                          <a:effectRef idx="3">
                            <a:schemeClr val="accent4"/>
                          </a:effectRef>
                          <a:fontRef idx="minor">
                            <a:schemeClr val="lt1"/>
                          </a:fontRef>
                        </wps:style>
                        <wps:txbx>
                          <w:txbxContent>
                            <w:p w:rsidR="0098525C" w:rsidRPr="00242D51" w:rsidRDefault="0098525C" w:rsidP="00242D51">
                              <w:pPr>
                                <w:jc w:val="center"/>
                                <w:rPr>
                                  <w:sz w:val="18"/>
                                </w:rPr>
                              </w:pPr>
                              <w:r w:rsidRPr="00242D51">
                                <w:rPr>
                                  <w:sz w:val="18"/>
                                </w:rPr>
                                <w:t>20 days</w:t>
                              </w:r>
                              <w:r>
                                <w:rPr>
                                  <w:sz w:val="18"/>
                                </w:rPr>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60" name="Rectangle 60"/>
                        <wps:cNvSpPr/>
                        <wps:spPr>
                          <a:xfrm>
                            <a:off x="1600201" y="5667375"/>
                            <a:ext cx="3581400" cy="247650"/>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98525C" w:rsidRPr="007C6196" w:rsidRDefault="0098525C" w:rsidP="007C6196">
                              <w:pPr>
                                <w:jc w:val="center"/>
                                <w:rPr>
                                  <w:sz w:val="18"/>
                                </w:rPr>
                              </w:pPr>
                              <w:r>
                                <w:rPr>
                                  <w:sz w:val="18"/>
                                </w:rPr>
                                <w:t>Submit final report and action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1600201" y="6057900"/>
                            <a:ext cx="3581400" cy="638175"/>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98525C" w:rsidRDefault="0098525C" w:rsidP="007C6196">
                              <w:pPr>
                                <w:jc w:val="center"/>
                                <w:rPr>
                                  <w:sz w:val="18"/>
                                </w:rPr>
                              </w:pPr>
                              <w:r>
                                <w:rPr>
                                  <w:sz w:val="18"/>
                                </w:rPr>
                                <w:t>Commissioner (with relevant stakeholders) undertakes a review of the final report and action plan and ensures it meets requirements for a robust investigation (see appendix 8). Feedback given to provider (*calendar days)</w:t>
                              </w:r>
                            </w:p>
                            <w:p w:rsidR="0098525C" w:rsidRPr="007C6196" w:rsidRDefault="0098525C" w:rsidP="007C6196">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iped Right Arrow 63"/>
                        <wps:cNvSpPr/>
                        <wps:spPr>
                          <a:xfrm rot="5400000">
                            <a:off x="40481" y="6846095"/>
                            <a:ext cx="781048" cy="842962"/>
                          </a:xfrm>
                          <a:prstGeom prst="stripedRightArrow">
                            <a:avLst>
                              <a:gd name="adj1" fmla="val 50000"/>
                              <a:gd name="adj2" fmla="val 30791"/>
                            </a:avLst>
                          </a:prstGeom>
                        </wps:spPr>
                        <wps:style>
                          <a:lnRef idx="0">
                            <a:schemeClr val="accent4"/>
                          </a:lnRef>
                          <a:fillRef idx="3">
                            <a:schemeClr val="accent4"/>
                          </a:fillRef>
                          <a:effectRef idx="3">
                            <a:schemeClr val="accent4"/>
                          </a:effectRef>
                          <a:fontRef idx="minor">
                            <a:schemeClr val="lt1"/>
                          </a:fontRef>
                        </wps:style>
                        <wps:txbx>
                          <w:txbxContent>
                            <w:p w:rsidR="0098525C" w:rsidRPr="00242D51" w:rsidRDefault="0098525C" w:rsidP="00242D51">
                              <w:pPr>
                                <w:jc w:val="center"/>
                                <w:rPr>
                                  <w:sz w:val="18"/>
                                  <w:szCs w:val="18"/>
                                </w:rPr>
                              </w:pPr>
                              <w:r w:rsidRPr="00242D51">
                                <w:rPr>
                                  <w:sz w:val="18"/>
                                  <w:szCs w:val="18"/>
                                </w:rPr>
                                <w:t>On-going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64" name="Rectangle 64"/>
                        <wps:cNvSpPr/>
                        <wps:spPr>
                          <a:xfrm>
                            <a:off x="1600200" y="6991350"/>
                            <a:ext cx="3581401" cy="533399"/>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98525C" w:rsidRPr="002D1C69" w:rsidRDefault="0098525C" w:rsidP="002D1C69">
                              <w:pPr>
                                <w:jc w:val="center"/>
                                <w:rPr>
                                  <w:sz w:val="18"/>
                                </w:rPr>
                              </w:pPr>
                              <w:r>
                                <w:rPr>
                                  <w:sz w:val="18"/>
                                </w:rPr>
                                <w:t>Commissioner closes investigation and confirms timescales/mechanism for monitoring the action plan where actions/improvements are still being implemented.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Straight Connector 65"/>
                        <wps:cNvCnPr/>
                        <wps:spPr>
                          <a:xfrm>
                            <a:off x="57152" y="2762251"/>
                            <a:ext cx="646747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a:off x="57149" y="4048125"/>
                            <a:ext cx="646747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104776" y="5972175"/>
                            <a:ext cx="646747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a:off x="57149" y="6877052"/>
                            <a:ext cx="64674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3524248" y="1762126"/>
                            <a:ext cx="0" cy="5048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1466850" y="1733551"/>
                            <a:ext cx="3924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a:off x="1466850" y="1743076"/>
                            <a:ext cx="0" cy="123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a:off x="5391150" y="1733551"/>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a:off x="4428150" y="1387725"/>
                            <a:ext cx="4105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flipH="1">
                            <a:off x="2181225" y="1387725"/>
                            <a:ext cx="4000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3486151" y="333375"/>
                            <a:ext cx="0" cy="1333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wps:spPr>
                          <a:xfrm flipH="1">
                            <a:off x="3524248" y="843826"/>
                            <a:ext cx="1" cy="1980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a:off x="3524250" y="2714625"/>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wps:spPr>
                          <a:xfrm>
                            <a:off x="3524250" y="3429001"/>
                            <a:ext cx="0" cy="104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a:off x="3524250" y="392430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a:off x="3524250" y="4400550"/>
                            <a:ext cx="0" cy="104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3524250" y="5476875"/>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a:off x="3524250" y="5915025"/>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a:off x="3524250" y="6696075"/>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5" name="Striped Right Arrow 85"/>
                        <wps:cNvSpPr/>
                        <wps:spPr>
                          <a:xfrm rot="5400000">
                            <a:off x="3829359" y="4781861"/>
                            <a:ext cx="4986338" cy="499442"/>
                          </a:xfrm>
                          <a:prstGeom prst="stripedRightArrow">
                            <a:avLst>
                              <a:gd name="adj1" fmla="val 78573"/>
                              <a:gd name="adj2" fmla="val 50000"/>
                            </a:avLst>
                          </a:prstGeom>
                        </wps:spPr>
                        <wps:style>
                          <a:lnRef idx="0">
                            <a:schemeClr val="accent5"/>
                          </a:lnRef>
                          <a:fillRef idx="3">
                            <a:schemeClr val="accent5"/>
                          </a:fillRef>
                          <a:effectRef idx="3">
                            <a:schemeClr val="accent5"/>
                          </a:effectRef>
                          <a:fontRef idx="minor">
                            <a:schemeClr val="lt1"/>
                          </a:fontRef>
                        </wps:style>
                        <wps:txbx>
                          <w:txbxContent>
                            <w:p w:rsidR="0098525C" w:rsidRPr="002A6FD1" w:rsidRDefault="0098525C" w:rsidP="002A6FD1">
                              <w:pPr>
                                <w:jc w:val="center"/>
                                <w:rPr>
                                  <w:sz w:val="18"/>
                                </w:rPr>
                              </w:pPr>
                              <w:r w:rsidRPr="002A6FD1">
                                <w:rPr>
                                  <w:sz w:val="18"/>
                                </w:rPr>
                                <w:t xml:space="preserve">Opportunities for feedback and learning identified and information shared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tangle 130"/>
                        <wps:cNvSpPr/>
                        <wps:spPr>
                          <a:xfrm>
                            <a:off x="2381250" y="1041900"/>
                            <a:ext cx="514350" cy="2249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8525C" w:rsidRPr="00F31565" w:rsidRDefault="0098525C" w:rsidP="001C2A5F">
                              <w:pPr>
                                <w:jc w:val="center"/>
                                <w:rPr>
                                  <w:b/>
                                  <w:color w:val="C00000"/>
                                  <w:sz w:val="18"/>
                                </w:rPr>
                              </w:pPr>
                              <w:r w:rsidRPr="00F31565">
                                <w:rPr>
                                  <w:b/>
                                  <w:color w:val="C00000"/>
                                  <w:sz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a:off x="2962276" y="1923075"/>
                            <a:ext cx="514350" cy="224790"/>
                          </a:xfrm>
                          <a:prstGeom prst="rect">
                            <a:avLst/>
                          </a:prstGeom>
                          <a:solidFill>
                            <a:sysClr val="window" lastClr="FFFFFF"/>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rsidR="0098525C" w:rsidRPr="00F31565" w:rsidRDefault="0098525C" w:rsidP="001C2A5F">
                              <w:pPr>
                                <w:pStyle w:val="NormalWeb"/>
                                <w:spacing w:before="0" w:beforeAutospacing="0" w:after="0" w:afterAutospacing="0"/>
                                <w:jc w:val="center"/>
                                <w:rPr>
                                  <w:b/>
                                  <w:color w:val="C00000"/>
                                </w:rPr>
                              </w:pPr>
                              <w:r w:rsidRPr="00F31565">
                                <w:rPr>
                                  <w:rFonts w:ascii="Arial" w:eastAsia="Times New Roman" w:hAnsi="Arial"/>
                                  <w:b/>
                                  <w:color w:val="C00000"/>
                                  <w:sz w:val="18"/>
                                  <w:szCs w:val="18"/>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2" name="Straight Arrow Connector 202"/>
                        <wps:cNvCnPr/>
                        <wps:spPr>
                          <a:xfrm flipH="1">
                            <a:off x="3935895" y="1570382"/>
                            <a:ext cx="902804"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3" name="Straight Arrow Connector 203"/>
                        <wps:cNvCnPr/>
                        <wps:spPr>
                          <a:xfrm>
                            <a:off x="1123121" y="1492500"/>
                            <a:ext cx="0" cy="3744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4" name="Striped Right Arrow 204"/>
                        <wps:cNvSpPr/>
                        <wps:spPr>
                          <a:xfrm rot="5400000">
                            <a:off x="3258268" y="4820700"/>
                            <a:ext cx="4986020" cy="499110"/>
                          </a:xfrm>
                          <a:prstGeom prst="stripedRightArrow">
                            <a:avLst>
                              <a:gd name="adj1" fmla="val 78573"/>
                              <a:gd name="adj2" fmla="val 50000"/>
                            </a:avLst>
                          </a:prstGeom>
                          <a:ln/>
                        </wps:spPr>
                        <wps:style>
                          <a:lnRef idx="0">
                            <a:schemeClr val="accent2"/>
                          </a:lnRef>
                          <a:fillRef idx="3">
                            <a:schemeClr val="accent2"/>
                          </a:fillRef>
                          <a:effectRef idx="3">
                            <a:schemeClr val="accent2"/>
                          </a:effectRef>
                          <a:fontRef idx="minor">
                            <a:schemeClr val="lt1"/>
                          </a:fontRef>
                        </wps:style>
                        <wps:txbx>
                          <w:txbxContent>
                            <w:p w:rsidR="0098525C" w:rsidRPr="00872C9D" w:rsidRDefault="0098525C" w:rsidP="00872C9D">
                              <w:pPr>
                                <w:pStyle w:val="NormalWeb"/>
                                <w:spacing w:before="0" w:beforeAutospacing="0" w:after="0" w:afterAutospacing="0"/>
                                <w:jc w:val="center"/>
                                <w:rPr>
                                  <w:rFonts w:ascii="Arial" w:hAnsi="Arial" w:cs="Arial"/>
                                  <w:sz w:val="20"/>
                                </w:rPr>
                              </w:pPr>
                              <w:r w:rsidRPr="00872C9D">
                                <w:rPr>
                                  <w:rFonts w:ascii="Arial" w:hAnsi="Arial" w:cs="Arial"/>
                                  <w:sz w:val="20"/>
                                </w:rPr>
                                <w:t>Support and involve those affected</w:t>
                              </w:r>
                              <w:r>
                                <w:rPr>
                                  <w:rFonts w:ascii="Arial" w:hAnsi="Arial" w:cs="Arial"/>
                                  <w:sz w:val="20"/>
                                </w:rPr>
                                <w:t xml:space="preserve"> (including patients, victims and their families and staff)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1" o:spid="_x0000_s1028" editas="canvas" style="width:517.5pt;height:603pt;mso-position-horizontal-relative:char;mso-position-vertical-relative:line" coordsize="65722,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5722;height:76581;visibility:visible;mso-wrap-style:square">
                  <v:fill o:detectmouseclick="t"/>
                  <v:path o:connecttype="none"/>
                </v:shape>
                <v:rect id="Rectangle 131" o:spid="_x0000_s1030" style="position:absolute;left:40969;top:10506;width:8573;height:3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nEsAA&#10;AADcAAAADwAAAGRycy9kb3ducmV2LnhtbERPTWvCQBC9C/6HZQRvukmFIqmrFMHSgwcbpecxO90E&#10;s7Nhd5uk/74rCN7m8T5nsxttK3ryoXGsIF9mIIgrpxs2Ci7nw2INIkRkja1jUvBHAXbb6WSDhXYD&#10;f1FfRiNSCIcCFdQxdoWUoarJYli6jjhxP85bjAl6I7XHIYXbVr5k2au02HBqqLGjfU3Vrfy1Cvpj&#10;frrq1ffNlB/R+AGvrUGv1Hw2vr+BiDTGp/jh/tRp/iqH+zPpAr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jnEsAAAADcAAAADwAAAAAAAAAAAAAAAACYAgAAZHJzL2Rvd25y&#10;ZXYueG1sUEsFBgAAAAAEAAQA9QAAAIUDAAAAAA==&#10;" fillcolor="window" stroked="f" strokeweight="2pt">
                  <v:textbox>
                    <w:txbxContent>
                      <w:p w:rsidR="0098525C" w:rsidRPr="00F31565" w:rsidRDefault="0098525C" w:rsidP="001C2A5F">
                        <w:pPr>
                          <w:pStyle w:val="NormalWeb"/>
                          <w:spacing w:before="0" w:beforeAutospacing="0" w:after="0" w:afterAutospacing="0"/>
                          <w:jc w:val="center"/>
                          <w:rPr>
                            <w:rFonts w:ascii="Arial" w:hAnsi="Arial" w:cs="Arial"/>
                            <w:b/>
                            <w:color w:val="C00000"/>
                            <w:sz w:val="18"/>
                            <w:szCs w:val="18"/>
                          </w:rPr>
                        </w:pPr>
                        <w:r w:rsidRPr="00F31565">
                          <w:rPr>
                            <w:rFonts w:ascii="Arial" w:hAnsi="Arial" w:cs="Arial"/>
                            <w:b/>
                            <w:color w:val="C00000"/>
                            <w:sz w:val="18"/>
                            <w:szCs w:val="18"/>
                          </w:rPr>
                          <w:t>Unknown</w:t>
                        </w:r>
                      </w:p>
                    </w:txbxContent>
                  </v:textbox>
                </v:rect>
                <v:rect id="Rectangle 31" o:spid="_x0000_s1031" style="position:absolute;left:23812;top:190;width:20469;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T1sUA&#10;AADbAAAADwAAAGRycy9kb3ducmV2LnhtbESPT2sCMRTE74LfITyhF9GstkrZbhRpKVToxT+l18fm&#10;uZt187IkqW6/vSkUPA4z8xumWPe2FRfywThWMJtmIIhLpw1XCo6H98kziBCRNbaOScEvBVivhoMC&#10;c+2uvKPLPlYiQTjkqKCOsculDGVNFsPUdcTJOzlvMSbpK6k9XhPctnKeZUtp0XBaqLGj15rK8/7H&#10;Kui++evNN6H53I3NefHUOjPfOqUeRv3mBUSkPt7D/+0PreBxBn9f0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1PWxQAAANsAAAAPAAAAAAAAAAAAAAAAAJgCAABkcnMv&#10;ZG93bnJldi54bWxQSwUGAAAAAAQABAD1AAAAigMAAAAA&#10;" fillcolor="#004966 [1639]" stroked="f">
                  <v:fill color2="#0087bc [3015]" rotate="t" angle="180" colors="0 #0074ab;52429f #0099e0;1 #009ce6" focus="100%" type="gradient">
                    <o:fill v:ext="view" type="gradientUnscaled"/>
                  </v:fill>
                  <v:shadow on="t" color="black" opacity="22937f" origin=",.5" offset="0,.63889mm"/>
                  <v:textbox>
                    <w:txbxContent>
                      <w:p w:rsidR="0098525C" w:rsidRPr="00D13E4D" w:rsidRDefault="0098525C" w:rsidP="00D13E4D">
                        <w:pPr>
                          <w:jc w:val="center"/>
                          <w:rPr>
                            <w:sz w:val="18"/>
                          </w:rPr>
                        </w:pPr>
                        <w:r>
                          <w:rPr>
                            <w:sz w:val="18"/>
                          </w:rPr>
                          <w:t>Incident occurs</w:t>
                        </w:r>
                      </w:p>
                    </w:txbxContent>
                  </v:textbox>
                </v:rect>
                <v:rect id="Rectangle 33" o:spid="_x0000_s1032" style="position:absolute;left:21812;top:4667;width:24955;height:3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r4A&#10;AADbAAAADwAAAGRycy9kb3ducmV2LnhtbESPSwvCMBCE74L/IazgzaYqPqhGEUHw6uPibW3Wtths&#10;ahNt/fdGEDwOM/MNs1y3phQvql1hWcEwikEQp1YXnCk4n3aDOQjnkTWWlknBmxysV93OEhNtGz7Q&#10;6+gzESDsElSQe18lUro0J4MushVx8G62NuiDrDOpa2wC3JRyFMdTabDgsJBjRduc0vvxaRQ0Dylt&#10;oyc4eg71pbrRbHrfXJXq99rNAoSn1v/Dv/ZeKxiP4f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kEv5q+AAAA2wAAAA8AAAAAAAAAAAAAAAAAmAIAAGRycy9kb3ducmV2&#10;LnhtbFBLBQYAAAAABAAEAPUAAACDAwAAAAA=&#10;" fillcolor="#0074ab" stroked="f">
                  <v:fill color2="#009ce6" rotate="t" angle="180" colors="0 #0074ab;52429f #0099e0;1 #009ce6" focus="100%" type="gradient">
                    <o:fill v:ext="view" type="gradientUnscaled"/>
                  </v:fill>
                  <v:shadow on="t" color="black" opacity="22937f" origin=",.5" offset="0,.63889mm"/>
                  <v:textbox>
                    <w:txbxContent>
                      <w:p w:rsidR="0098525C" w:rsidRPr="00D13E4D" w:rsidRDefault="0098525C" w:rsidP="00D13E4D">
                        <w:pPr>
                          <w:jc w:val="center"/>
                          <w:rPr>
                            <w:sz w:val="18"/>
                          </w:rPr>
                        </w:pPr>
                        <w:r>
                          <w:rPr>
                            <w:sz w:val="18"/>
                          </w:rPr>
                          <w:t>Report on LRMS/ NRLS and to other bodies such as safeguarding lead as applicable</w:t>
                        </w:r>
                      </w:p>
                    </w:txbxContent>
                  </v:textbox>
                </v:rect>
                <v:rect id="Rectangle 34" o:spid="_x0000_s1033" style="position:absolute;left:7134;top:10143;width:14678;height:47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n7r0A&#10;AADbAAAADwAAAGRycy9kb3ducmV2LnhtbESPSwvCMBCE74L/IazgTVPfUo0iguDVx8Xb2qxtsdnU&#10;Jtr6740geBxm5htmuW5MIV5UudyygkE/AkGcWJ1zquB82vXmIJxH1lhYJgVvcrBetVtLjLWt+UCv&#10;o09FgLCLUUHmfRlL6ZKMDLq+LYmDd7OVQR9klUpdYR3gppDDKJpKgzmHhQxL2maU3I9Po6B+SGlr&#10;PcHhc6Av5Y1m0/vmqlS302wWIDw1/h/+tfdawWgM3y/h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u0n7r0AAADbAAAADwAAAAAAAAAAAAAAAACYAgAAZHJzL2Rvd25yZXYu&#10;eG1sUEsFBgAAAAAEAAQA9QAAAIIDAAAAAA==&#10;" fillcolor="#0074ab" stroked="f">
                  <v:fill color2="#009ce6" rotate="t" angle="180" colors="0 #0074ab;52429f #0099e0;1 #009ce6" focus="100%" type="gradient">
                    <o:fill v:ext="view" type="gradientUnscaled"/>
                  </v:fill>
                  <v:shadow on="t" color="black" opacity="22937f" origin=",.5" offset="0,.63889mm"/>
                  <v:textbox>
                    <w:txbxContent>
                      <w:p w:rsidR="0098525C" w:rsidRPr="00D13E4D" w:rsidRDefault="0098525C" w:rsidP="00CC7ED8">
                        <w:pPr>
                          <w:rPr>
                            <w:sz w:val="18"/>
                          </w:rPr>
                        </w:pPr>
                        <w:r w:rsidRPr="00D13E4D">
                          <w:rPr>
                            <w:sz w:val="18"/>
                          </w:rPr>
                          <w:t>Manage in line with local risk management</w:t>
                        </w:r>
                        <w:r>
                          <w:rPr>
                            <w:sz w:val="18"/>
                          </w:rPr>
                          <w:t xml:space="preserve"> policy</w:t>
                        </w:r>
                      </w:p>
                    </w:txbxContent>
                  </v:textbox>
                </v:rect>
                <v:rect id="Rectangle 36" o:spid="_x0000_s1034" style="position:absolute;left:48386;top:11711;width:16860;height:4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McAr4A&#10;AADbAAAADwAAAGRycy9kb3ducmV2LnhtbESPzQrCMBCE74LvEFbwpqmKVapRRBC8+nPxtjZrW2w2&#10;tYm2vr0RBI/DzHzDLNetKcWLaldYVjAaRiCIU6sLzhScT7vBHITzyBpLy6TgTQ7Wq25niYm2DR/o&#10;dfSZCBB2CSrIva8SKV2ak0E3tBVx8G62NuiDrDOpa2wC3JRyHEWxNFhwWMixom1O6f34NAqah5S2&#10;0VMcP0f6Ut1oFt83V6X6vXazAOGp9f/wr73XCiYxfL+E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lzHAK+AAAA2wAAAA8AAAAAAAAAAAAAAAAAmAIAAGRycy9kb3ducmV2&#10;LnhtbFBLBQYAAAAABAAEAPUAAACDAwAAAAA=&#10;" fillcolor="#0074ab" stroked="f">
                  <v:fill color2="#009ce6" rotate="t" angle="180" colors="0 #0074ab;52429f #0099e0;1 #009ce6" focus="100%" type="gradient">
                    <o:fill v:ext="view" type="gradientUnscaled"/>
                  </v:fill>
                  <v:shadow on="t" color="black" opacity="22937f" origin=",.5" offset="0,.63889mm"/>
                  <v:textbox>
                    <w:txbxContent>
                      <w:p w:rsidR="0098525C" w:rsidRPr="00D13E4D" w:rsidRDefault="0098525C" w:rsidP="00CC7ED8">
                        <w:pPr>
                          <w:rPr>
                            <w:sz w:val="18"/>
                          </w:rPr>
                        </w:pPr>
                        <w:r>
                          <w:rPr>
                            <w:sz w:val="18"/>
                          </w:rPr>
                          <w:t>Review and discuss with commissioner</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2" o:spid="_x0000_s1035" type="#_x0000_t67" style="position:absolute;top:190;width:8382;height:27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LHcMA&#10;AADbAAAADwAAAGRycy9kb3ducmV2LnhtbESP3WrCQBSE74W+w3IKvRHdGEqR6CpSEOyNYOoDHLLH&#10;JJo9m+6u+fHp3UKhl8PMfMOst4NpREfO15YVLOYJCOLC6ppLBefv/WwJwgdkjY1lUjCSh+3mZbLG&#10;TNueT9TloRQRwj5DBVUIbSalLyoy6Oe2JY7exTqDIUpXSu2wj3DTyDRJPqTBmuNChS19VlTc8rtR&#10;cJyOV3cemPTP160sHoeUaZ8q9fY67FYgAg3hP/zXPmgF7yn8fo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yLHcMAAADbAAAADwAAAAAAAAAAAAAAAACYAgAAZHJzL2Rv&#10;d25yZXYueG1sUEsFBgAAAAAEAAQA9QAAAIgDAAAAAA==&#10;" adj="18300" fillcolor="#005764 [1638]" stroked="f">
                  <v:fill color2="#00a1b9 [3014]" rotate="t" angle="180" colors="0 #0090a8;52429f #00bddc;1 #00c1e2" focus="100%" type="gradient">
                    <o:fill v:ext="view" type="gradientUnscaled"/>
                  </v:fill>
                  <v:shadow on="t" color="black" opacity="22937f" origin=",.5" offset="0,.63889mm"/>
                  <v:textbox style="layout-flow:vertical;mso-layout-flow-alt:bottom-to-top">
                    <w:txbxContent>
                      <w:p w:rsidR="0098525C" w:rsidRPr="008371EB" w:rsidRDefault="0098525C" w:rsidP="008371EB">
                        <w:pPr>
                          <w:jc w:val="center"/>
                          <w:rPr>
                            <w:sz w:val="18"/>
                          </w:rPr>
                        </w:pPr>
                        <w:r>
                          <w:rPr>
                            <w:sz w:val="18"/>
                          </w:rPr>
                          <w:t>Within 2 working days</w:t>
                        </w:r>
                      </w:p>
                    </w:txbxContent>
                  </v:textbox>
                </v:shape>
                <v:shapetype id="_x0000_t4" coordsize="21600,21600" o:spt="4" path="m10800,l,10800,10800,21600,21600,10800xe">
                  <v:stroke joinstyle="miter"/>
                  <v:path gradientshapeok="t" o:connecttype="rect" textboxrect="5400,5400,16200,16200"/>
                </v:shapetype>
                <v:shape id="Diamond 43" o:spid="_x0000_s1036" type="#_x0000_t4" style="position:absolute;left:25812;top:10419;width:18469;height:6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jzlcIA&#10;AADbAAAADwAAAGRycy9kb3ducmV2LnhtbESPT4vCMBTE7wt+h/AEb2vqHxapRpFCwYuHdQXp7ZE8&#10;22LzUppo22+/WVjwOMzMb5jdYbCNeFHna8cKFvMEBLF2puZSwfUn/9yA8AHZYOOYFIzk4bCffOww&#10;Na7nb3pdQikihH2KCqoQ2lRKryuy6OeuJY7e3XUWQ5RdKU2HfYTbRi6T5EtarDkuVNhSVpF+XJ5W&#10;QaYXY+5uOpfFNevPYyiOciyUmk2H4xZEoCG8w//tk1GwXsHfl/g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POVwgAAANsAAAAPAAAAAAAAAAAAAAAAAJgCAABkcnMvZG93&#10;bnJldi54bWxQSwUGAAAAAAQABAD1AAAAhwMAAAAA&#10;" fillcolor="#51002a [1637]" stroked="f">
                  <v:fill color2="#95004e [3013]" rotate="t" angle="180" colors="0 #87003c;52429f #b20052;1 #b70053" focus="100%" type="gradient">
                    <o:fill v:ext="view" type="gradientUnscaled"/>
                  </v:fill>
                  <v:shadow on="t" color="black" opacity="22937f" origin=",.5" offset="0,.63889mm"/>
                  <v:textbox>
                    <w:txbxContent>
                      <w:p w:rsidR="0098525C" w:rsidRPr="00D13E4D" w:rsidRDefault="0098525C" w:rsidP="00D13E4D">
                        <w:pPr>
                          <w:jc w:val="center"/>
                          <w:rPr>
                            <w:b/>
                            <w:sz w:val="18"/>
                          </w:rPr>
                        </w:pPr>
                        <w:r w:rsidRPr="00D13E4D">
                          <w:rPr>
                            <w:b/>
                            <w:sz w:val="18"/>
                          </w:rPr>
                          <w:t>Is it a serious incident?</w:t>
                        </w:r>
                      </w:p>
                    </w:txbxContent>
                  </v:textbox>
                </v:shape>
                <v:rect id="Rectangle 44" o:spid="_x0000_s1037" style="position:absolute;left:8858;top:18669;width:13906;height:5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PsMUA&#10;AADbAAAADwAAAGRycy9kb3ducmV2LnhtbESP3WoCMRSE7wu+QziCN0WzimxlNYo/bWkvBP8e4LA5&#10;bhY3J0uS6vbtm0Khl8PMfMMsVp1txJ18qB0rGI8yEMSl0zVXCi7nt+EMRIjIGhvHpOCbAqyWvacF&#10;Fto9+Ej3U6xEgnAoUIGJsS2kDKUhi2HkWuLkXZ23GJP0ldQeHwluGznJslxarDktGGxpa6i8nb6s&#10;gl1+uNn8/WW/efbmfMTPcb1/bZQa9Lv1HESkLv6H/9ofWsF0Cr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mQ+wxQAAANsAAAAPAAAAAAAAAAAAAAAAAJgCAABkcnMv&#10;ZG93bnJldi54bWxQSwUGAAAAAAQABAD1AAAAigMAAAAA&#10;" fillcolor="#003964 [1636]" stroked="f">
                  <v:fill color2="#006ab9 [3012]" rotate="t" angle="180" colors="0 #0056a8;52429f #0072dc;1 #0074e2" focus="100%" type="gradient">
                    <o:fill v:ext="view" type="gradientUnscaled"/>
                  </v:fill>
                  <v:shadow on="t" color="black" opacity="22937f" origin=",.5" offset="0,.63889mm"/>
                  <v:textbox>
                    <w:txbxContent>
                      <w:p w:rsidR="0098525C" w:rsidRPr="00D13E4D" w:rsidRDefault="0098525C" w:rsidP="00D13E4D">
                        <w:pPr>
                          <w:jc w:val="center"/>
                          <w:rPr>
                            <w:sz w:val="18"/>
                          </w:rPr>
                        </w:pPr>
                        <w:r>
                          <w:rPr>
                            <w:sz w:val="18"/>
                          </w:rPr>
                          <w:t xml:space="preserve">Engage with those involved/affected </w:t>
                        </w:r>
                      </w:p>
                    </w:txbxContent>
                  </v:textbox>
                </v:rect>
                <v:rect id="Rectangle 45" o:spid="_x0000_s1038" style="position:absolute;left:24669;top:22669;width:18384;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qK8UA&#10;AADbAAAADwAAAGRycy9kb3ducmV2LnhtbESP3WoCMRSE7wXfIRyhN1KzSruVrVFaW8VeCPXnAQ6b&#10;083i5mRJUt2+vREKXg4z8w0zW3S2EWfyoXasYDzKQBCXTtdcKTgeVo9TECEia2wck4I/CrCY93sz&#10;LLS78I7O+1iJBOFQoAITY1tIGUpDFsPItcTJ+3HeYkzSV1J7vCS4beQky3Jpsea0YLClpaHytP+1&#10;Cj7y75PN1y/b96E3hx1+jevtZ6PUw6B7ewURqYv38H97oxU8PcPtS/o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1aorxQAAANsAAAAPAAAAAAAAAAAAAAAAAJgCAABkcnMv&#10;ZG93bnJldi54bWxQSwUGAAAAAAQABAD1AAAAigMAAAAA&#10;" fillcolor="#003964 [1636]" stroked="f">
                  <v:fill color2="#006ab9 [3012]" rotate="t" angle="180" colors="0 #0056a8;52429f #0072dc;1 #0074e2" focus="100%" type="gradient">
                    <o:fill v:ext="view" type="gradientUnscaled"/>
                  </v:fill>
                  <v:shadow on="t" color="black" opacity="22937f" origin=",.5" offset="0,.63889mm"/>
                  <v:textbox>
                    <w:txbxContent>
                      <w:p w:rsidR="0098525C" w:rsidRPr="00D13E4D" w:rsidRDefault="0098525C" w:rsidP="00D13E4D">
                        <w:pPr>
                          <w:jc w:val="center"/>
                          <w:rPr>
                            <w:sz w:val="18"/>
                          </w:rPr>
                        </w:pPr>
                        <w:r>
                          <w:rPr>
                            <w:sz w:val="18"/>
                          </w:rPr>
                          <w:t>Report on STEIS</w:t>
                        </w:r>
                      </w:p>
                    </w:txbxContent>
                  </v:textbox>
                </v:rect>
                <v:rect id="Rectangle 46" o:spid="_x0000_s1039" style="position:absolute;left:46862;top:18383;width:17707;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438MA&#10;AADbAAAADwAAAGRycy9kb3ducmV2LnhtbESPQWsCMRSE70L/Q3hCL6LZioqsRiktBQUvaovXx+a5&#10;G928LEmq6783guBxmJlvmPmytbW4kA/GsYKPQQaCuHDacKngd//Tn4IIEVlj7ZgU3CjAcvHWmWOu&#10;3ZW3dNnFUiQIhxwVVDE2uZShqMhiGLiGOHlH5y3GJH0ptcdrgttaDrNsIi0aTgsVNvRVUXHe/VsF&#10;zYH/vv0pnDbbnjmPR7Uzw7VT6r3bfs5ARGrjK/xsr7SC0QQeX9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i438MAAADbAAAADwAAAAAAAAAAAAAAAACYAgAAZHJzL2Rv&#10;d25yZXYueG1sUEsFBgAAAAAEAAQA9QAAAIgDAAAAAA==&#10;" fillcolor="#004966 [1639]" stroked="f">
                  <v:fill color2="#0087bc [3015]" rotate="t" angle="180" colors="0 #0074ab;52429f #0099e0;1 #009ce6" focus="100%" type="gradient">
                    <o:fill v:ext="view" type="gradientUnscaled"/>
                  </v:fill>
                  <v:shadow on="t" color="black" opacity="22937f" origin=",.5" offset="0,.63889mm"/>
                  <v:textbox>
                    <w:txbxContent>
                      <w:p w:rsidR="0098525C" w:rsidRPr="00D13E4D" w:rsidRDefault="0098525C" w:rsidP="00D13E4D">
                        <w:pPr>
                          <w:jc w:val="center"/>
                          <w:rPr>
                            <w:sz w:val="18"/>
                          </w:rPr>
                        </w:pPr>
                        <w:r>
                          <w:rPr>
                            <w:sz w:val="18"/>
                          </w:rPr>
                          <w:t>Report/notify other stakeholders as required e.g. safeguarding, CQC,TDA etc.</w:t>
                        </w:r>
                      </w:p>
                    </w:txbxContent>
                  </v:textbox>
                </v:rect>
                <v:rect id="Rectangle 47" o:spid="_x0000_s1040" style="position:absolute;left:13536;top:28670;width:39535;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dUMQA&#10;AADbAAAADwAAAGRycy9kb3ducmV2LnhtbESP3WrCQBSE7wu+w3KE3tWNUlqJriLBn0ILYuIDHLIn&#10;P5o9G7JrjG/fLRS8HGbmG2a5HkwjeupcbVnBdBKBIM6trrlUcM52b3MQziNrbCyTggc5WK9GL0uM&#10;tb3zifrUlyJA2MWooPK+jaV0eUUG3cS2xMErbGfQB9mVUnd4D3DTyFkUfUiDNYeFCltKKsqv6c0o&#10;SH7mTV8Ue/c4JtvsMDtkOv2+KPU6HjYLEJ4G/wz/t7+0gvdP+Ps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kXVDEAAAA2wAAAA8AAAAAAAAAAAAAAAAAmAIAAGRycy9k&#10;b3ducmV2LnhtbFBLBQYAAAAABAAEAPUAAACJAwAAAAA=&#10;" fillcolor="#005764 [1638]" stroked="f">
                  <v:fill color2="#00a1b9 [3014]" rotate="t" angle="180" colors="0 #0090a8;52429f #00bddc;1 #00c1e2" focus="100%" type="gradient">
                    <o:fill v:ext="view" type="gradientUnscaled"/>
                  </v:fill>
                  <v:shadow on="t" color="black" opacity="22937f" origin=",.5" offset="0,.63889mm"/>
                  <v:textbox>
                    <w:txbxContent>
                      <w:p w:rsidR="0098525C" w:rsidRPr="007C6196" w:rsidRDefault="0098525C" w:rsidP="007C6196">
                        <w:pPr>
                          <w:jc w:val="center"/>
                          <w:rPr>
                            <w:sz w:val="18"/>
                          </w:rPr>
                        </w:pPr>
                        <w:r w:rsidRPr="007C6196">
                          <w:rPr>
                            <w:sz w:val="18"/>
                          </w:rPr>
                          <w:t>C</w:t>
                        </w:r>
                        <w:r>
                          <w:rPr>
                            <w:sz w:val="18"/>
                          </w:rPr>
                          <w:t>omplete</w:t>
                        </w:r>
                        <w:r w:rsidRPr="007C6196">
                          <w:rPr>
                            <w:sz w:val="18"/>
                          </w:rPr>
                          <w:t xml:space="preserve"> initial review</w:t>
                        </w:r>
                        <w:r>
                          <w:rPr>
                            <w:sz w:val="18"/>
                          </w:rPr>
                          <w:t xml:space="preserve"> and submit to commissioner where possible this should be the provider’s ‘lead commissioner’ who can liaise with others as required. This should be outlined in the RASCI model.</w:t>
                        </w:r>
                      </w:p>
                    </w:txbxContent>
                  </v:textbox>
                </v:rect>
                <v:rect id="Rectangle 48" o:spid="_x0000_s1041" style="position:absolute;left:21050;top:35337;width:25717;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JIsAA&#10;AADbAAAADwAAAGRycy9kb3ducmV2LnhtbERPy4rCMBTdC/MP4Q7MTlNlEOkYRcqMCgpiOx9waW4f&#10;2tyUJtb692YhuDyc93I9mEb01LnasoLpJAJBnFtdc6ngP/sbL0A4j6yxsUwKHuRgvfoYLTHW9s5n&#10;6lNfihDCLkYFlfdtLKXLKzLoJrYlDlxhO4M+wK6UusN7CDeNnEXRXBqsOTRU2FJSUX5Nb0ZBclw0&#10;fVFs3eOU/Ga72S7T6eGi1NfnsPkB4Wnwb/HLvdcKvsPY8CX8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vJIsAAAADbAAAADwAAAAAAAAAAAAAAAACYAgAAZHJzL2Rvd25y&#10;ZXYueG1sUEsFBgAAAAAEAAQA9QAAAIUDAAAAAA==&#10;" fillcolor="#005764 [1638]" stroked="f">
                  <v:fill color2="#00a1b9 [3014]" rotate="t" angle="180" colors="0 #0090a8;52429f #00bddc;1 #00c1e2" focus="100%" type="gradient">
                    <o:fill v:ext="view" type="gradientUnscaled"/>
                  </v:fill>
                  <v:shadow on="t" color="black" opacity="22937f" origin=",.5" offset="0,.63889mm"/>
                  <v:textbox>
                    <w:txbxContent>
                      <w:p w:rsidR="0098525C" w:rsidRPr="007C6196" w:rsidRDefault="0098525C" w:rsidP="007C6196">
                        <w:pPr>
                          <w:jc w:val="center"/>
                          <w:rPr>
                            <w:sz w:val="18"/>
                          </w:rPr>
                        </w:pPr>
                        <w:r>
                          <w:rPr>
                            <w:sz w:val="18"/>
                          </w:rPr>
                          <w:t>Confirm level of investigation required</w:t>
                        </w:r>
                      </w:p>
                    </w:txbxContent>
                  </v:textbox>
                </v:rect>
                <v:shape id="Down Arrow 50" o:spid="_x0000_s1042" type="#_x0000_t67" style="position:absolute;left:95;top:27622;width:8763;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fusAA&#10;AADbAAAADwAAAGRycy9kb3ducmV2LnhtbERPTWvCQBC9F/oflil4qxuFikRXEVGaW0gU9DjNTpNg&#10;djZk1yT213cPgsfH+15vR9OInjpXW1Ywm0YgiAuray4VnE/HzyUI55E1NpZJwYMcbDfvb2uMtR04&#10;oz73pQgh7GJUUHnfxlK6oiKDbmpb4sD92s6gD7Arpe5wCOGmkfMoWkiDNYeGClvaV1Tc8rtRwPr7&#10;2v8cTkXGuyEdZXq9zP4SpSYf424FwtPoX+KnO9EKvsL68CX8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HfusAAAADbAAAADwAAAAAAAAAAAAAAAACYAgAAZHJzL2Rvd25y&#10;ZXYueG1sUEsFBgAAAAAEAAQA9QAAAIUDAAAAAA==&#10;" adj="14294" fillcolor="#004966 [1639]" stroked="f">
                  <v:fill color2="#0087bc [3015]" rotate="t" angle="180" colors="0 #0074ab;52429f #0099e0;1 #009ce6" focus="100%" type="gradient">
                    <o:fill v:ext="view" type="gradientUnscaled"/>
                  </v:fill>
                  <v:shadow on="t" color="black" opacity="22937f" origin=",.5" offset="0,.63889mm"/>
                  <v:textbox style="layout-flow:vertical;mso-layout-flow-alt:bottom-to-top">
                    <w:txbxContent>
                      <w:p w:rsidR="0098525C" w:rsidRPr="008371EB" w:rsidRDefault="0098525C" w:rsidP="008371EB">
                        <w:pPr>
                          <w:jc w:val="center"/>
                          <w:rPr>
                            <w:sz w:val="12"/>
                          </w:rPr>
                        </w:pPr>
                        <w:r w:rsidRPr="008371EB">
                          <w:rPr>
                            <w:sz w:val="18"/>
                          </w:rPr>
                          <w:t>Within</w:t>
                        </w:r>
                        <w:r>
                          <w:rPr>
                            <w:sz w:val="18"/>
                          </w:rPr>
                          <w:t xml:space="preserve"> 3 working days</w:t>
                        </w:r>
                      </w:p>
                    </w:txbxContent>
                  </v:textbox>
                </v:shape>
                <v:rect id="Rectangle 51" o:spid="_x0000_s1043" style="position:absolute;left:16002;top:40576;width:3495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2dsUA&#10;AADbAAAADwAAAGRycy9kb3ducmV2LnhtbESPzWrDMBCE74W8g9hALiWWE5pQXCshpARa6CU/JdfF&#10;2tpyrJWR1MR9+6pQyHGYmW+Ycj3YTlzJB+NYwSzLQRBXThuuFZyOu+kziBCRNXaOScEPBVivRg8l&#10;FtrdeE/XQ6xFgnAoUEETY19IGaqGLIbM9cTJ+3LeYkzS11J7vCW47eQ8z5fSouG00GBP24aqy+Hb&#10;KujP/Pnq29B+7B/NZfHUOTN/d0pNxsPmBUSkId7D/+03rWAxg78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LZ2xQAAANsAAAAPAAAAAAAAAAAAAAAAAJgCAABkcnMv&#10;ZG93bnJldi54bWxQSwUGAAAAAAQABAD1AAAAigMAAAAA&#10;" fillcolor="#004966 [1639]" stroked="f">
                  <v:fill color2="#0087bc [3015]" rotate="t" angle="180" colors="0 #0074ab;52429f #0099e0;1 #009ce6" focus="100%" type="gradient">
                    <o:fill v:ext="view" type="gradientUnscaled"/>
                  </v:fill>
                  <v:shadow on="t" color="black" opacity="22937f" origin=",.5" offset="0,.63889mm"/>
                  <v:textbox>
                    <w:txbxContent>
                      <w:p w:rsidR="0098525C" w:rsidRPr="007C6196" w:rsidRDefault="0098525C" w:rsidP="007C6196">
                        <w:pPr>
                          <w:jc w:val="center"/>
                          <w:rPr>
                            <w:sz w:val="18"/>
                          </w:rPr>
                        </w:pPr>
                        <w:r>
                          <w:rPr>
                            <w:sz w:val="18"/>
                          </w:rPr>
                          <w:t>Lead investigator identified. Team established. Terms of reference set. Management plan established</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4" o:spid="_x0000_s1044" type="#_x0000_t15" style="position:absolute;left:16002;top:49625;width:12954;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FBMMA&#10;AADbAAAADwAAAGRycy9kb3ducmV2LnhtbESPQWvCQBSE70L/w/IKvZlNpBWJrtJahIL0YPTg8ZF9&#10;JtHdtyG7mvjvuwXB4zAz3zCL1WCNuFHnG8cKsiQFQVw63XCl4LDfjGcgfEDWaByTgjt5WC1fRgvM&#10;tet5R7ciVCJC2OeooA6hzaX0ZU0WfeJa4uidXGcxRNlVUnfYR7g1cpKmU2mx4bhQY0vrmspLcbUK&#10;it9v09DxatJqm2Vf57sJ236j1Nvr8DkHEWgIz/Cj/aMVfLzD/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rFBMMAAADbAAAADwAAAAAAAAAAAAAAAACYAgAAZHJzL2Rv&#10;d25yZXYueG1sUEsFBgAAAAAEAAQA9QAAAIgDAAAAAA==&#10;" adj="17312" fillcolor="#51002a [1637]" stroked="f">
                  <v:fill color2="#95004e [3013]" rotate="t" angle="180" colors="0 #87003c;52429f #b20052;1 #b70053" focus="100%" type="gradient">
                    <o:fill v:ext="view" type="gradientUnscaled"/>
                  </v:fill>
                  <v:shadow on="t" color="black" opacity="22937f" origin=",.5" offset="0,.63889mm"/>
                  <v:textbox>
                    <w:txbxContent>
                      <w:p w:rsidR="0098525C" w:rsidRPr="007C6196" w:rsidRDefault="0098525C" w:rsidP="007C6196">
                        <w:pPr>
                          <w:jc w:val="center"/>
                          <w:rPr>
                            <w:sz w:val="18"/>
                          </w:rPr>
                        </w:pPr>
                        <w:r>
                          <w:rPr>
                            <w:sz w:val="18"/>
                          </w:rPr>
                          <w:t>Gathering and mapping information</w:t>
                        </w:r>
                      </w:p>
                    </w:txbxContent>
                  </v:textbox>
                </v:shape>
                <v:shape id="Pentagon 55" o:spid="_x0000_s1045" type="#_x0000_t15" style="position:absolute;left:28956;top:49625;width:1209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VMMA&#10;AADbAAAADwAAAGRycy9kb3ducmV2LnhtbESPX2vCQBDE3wW/w7GFvummpQaJniJC/7yFRqF9XHNr&#10;EszthdxVYz99ryD4OMzMb5jlerCtOnPvGycanqYJKJbSmUYqDfvd62QOygcSQ60T1nBlD+vVeLSk&#10;zLiLfPK5CJWKEPEZaahD6DJEX9ZsyU9dxxK9o+sthSj7Ck1Plwi3LT4nSYqWGokLNXW8rbk8FT9W&#10;Q/GG3+/pbxqwO1y/8oPkhC+51o8Pw2YBKvAQ7uFb+8NomM3g/0v8Ab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sVMMAAADbAAAADwAAAAAAAAAAAAAAAACYAgAAZHJzL2Rv&#10;d25yZXYueG1sUEsFBgAAAAAEAAQA9QAAAIgDAAAAAA==&#10;" adj="17008" fillcolor="#51002a [1637]" stroked="f">
                  <v:fill color2="#95004e [3013]" rotate="t" angle="180" colors="0 #87003c;52429f #b20052;1 #b70053" focus="100%" type="gradient">
                    <o:fill v:ext="view" type="gradientUnscaled"/>
                  </v:fill>
                  <v:shadow on="t" color="black" opacity="22937f" origin=",.5" offset="0,.63889mm"/>
                  <v:textbox>
                    <w:txbxContent>
                      <w:p w:rsidR="0098525C" w:rsidRPr="007C6196" w:rsidRDefault="0098525C" w:rsidP="007C6196">
                        <w:pPr>
                          <w:jc w:val="center"/>
                          <w:rPr>
                            <w:sz w:val="18"/>
                          </w:rPr>
                        </w:pPr>
                        <w:r>
                          <w:rPr>
                            <w:sz w:val="18"/>
                          </w:rPr>
                          <w:t>Analysing information</w:t>
                        </w:r>
                      </w:p>
                    </w:txbxContent>
                  </v:textbox>
                </v:shape>
                <v:shape id="Pentagon 56" o:spid="_x0000_s1046" type="#_x0000_t15" style="position:absolute;left:41052;top:49625;width:11430;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8w5MEA&#10;AADbAAAADwAAAGRycy9kb3ducmV2LnhtbESPQWsCMRSE70L/Q3iCF6lZBaVsjSJCwZt1LT0/Nq+b&#10;xeRl3UQ3/fdNQfA4zMw3zHqbnBV36kPrWcF8VoAgrr1uuVHwdf54fQMRIrJG65kU/FKA7eZltMZS&#10;+4FPdK9iIzKEQ4kKTIxdKWWoDTkMM98RZ+/H9w5jln0jdY9DhjsrF0Wxkg5bzgsGO9obqi/VzSmQ&#10;O1td6dNOh/1J++/maNIVk1KTcdq9g4iU4jP8aB+0guUK/r/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vMOTBAAAA2wAAAA8AAAAAAAAAAAAAAAAAmAIAAGRycy9kb3du&#10;cmV2LnhtbFBLBQYAAAAABAAEAPUAAACGAwAAAAA=&#10;" adj="16740" fillcolor="#51002a [1637]" stroked="f">
                  <v:fill color2="#95004e [3013]" rotate="t" angle="180" colors="0 #87003c;52429f #b20052;1 #b70053" focus="100%" type="gradient">
                    <o:fill v:ext="view" type="gradientUnscaled"/>
                  </v:fill>
                  <v:shadow on="t" color="black" opacity="22937f" origin=",.5" offset="0,.63889mm"/>
                  <v:textbox>
                    <w:txbxContent>
                      <w:p w:rsidR="0098525C" w:rsidRPr="007C6196" w:rsidRDefault="0098525C" w:rsidP="007C6196">
                        <w:pPr>
                          <w:jc w:val="center"/>
                          <w:rPr>
                            <w:sz w:val="18"/>
                          </w:rPr>
                        </w:pPr>
                        <w:r>
                          <w:rPr>
                            <w:sz w:val="18"/>
                          </w:rPr>
                          <w:t>Generating solution</w:t>
                        </w:r>
                      </w:p>
                    </w:txbxContent>
                  </v:textbox>
                </v:shape>
                <v:rect id="Rectangle 57" o:spid="_x0000_s1047" style="position:absolute;left:16002;top:45053;width:34956;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HGsUA&#10;AADbAAAADwAAAGRycy9kb3ducmV2LnhtbESP3WoCMRSE7wu+QziCN0WzCl1lNYo/bWkvBP8e4LA5&#10;bhY3J0uS6vbtm0Khl8PMfMMsVp1txJ18qB0rGI8yEMSl0zVXCi7nt+EMRIjIGhvHpOCbAqyWvacF&#10;Fto9+Ej3U6xEgnAoUIGJsS2kDKUhi2HkWuLkXZ23GJP0ldQeHwluGznJslxarDktGGxpa6i8nb6s&#10;gl1+uNn8fbrfPHtzPuLnuN6/NkoN+t16DiJSF//Df+0PreBlCr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gcaxQAAANsAAAAPAAAAAAAAAAAAAAAAAJgCAABkcnMv&#10;ZG93bnJldi54bWxQSwUGAAAAAAQABAD1AAAAigMAAAAA&#10;" fillcolor="#003964 [1636]" stroked="f">
                  <v:fill color2="#006ab9 [3012]" rotate="t" angle="180" colors="0 #0056a8;52429f #0072dc;1 #0074e2" focus="100%" type="gradient">
                    <o:fill v:ext="view" type="gradientUnscaled"/>
                  </v:fill>
                  <v:shadow on="t" color="black" opacity="22937f" origin=",.5" offset="0,.63889mm"/>
                  <v:textbox>
                    <w:txbxContent>
                      <w:p w:rsidR="0098525C" w:rsidRPr="007C6196" w:rsidRDefault="0098525C" w:rsidP="007C6196">
                        <w:pPr>
                          <w:jc w:val="center"/>
                          <w:rPr>
                            <w:sz w:val="18"/>
                          </w:rPr>
                        </w:pPr>
                        <w:r>
                          <w:rPr>
                            <w:sz w:val="18"/>
                          </w:rPr>
                          <w:t>Undertake the investigation</w:t>
                        </w:r>
                      </w:p>
                    </w:txbxContent>
                  </v:textbox>
                </v:rect>
                <v:shape id="Down Arrow 58" o:spid="_x0000_s1048" type="#_x0000_t67" style="position:absolute;top:40576;width:8858;height:19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oGsIA&#10;AADbAAAADwAAAGRycy9kb3ducmV2LnhtbERPW2vCMBR+F/YfwhnsTdNtOqRrKjLYUBh4Gz4fk7Om&#10;rDkpTdS6X28eBB8/vnsx610jTtSF2rOC51EGglh7U3Ol4Gf3OZyCCBHZYOOZFFwowKx8GBSYG3/m&#10;DZ22sRIphEOOCmyMbS5l0JYchpFviRP36zuHMcGukqbDcwp3jXzJsjfpsObUYLGlD0v6b3t0ClbH&#10;9f+ymbzKnZ5Px22wen/4+lbq6bGfv4OI1Me7+OZeGAWTNDZ9ST9Al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6gawgAAANsAAAAPAAAAAAAAAAAAAAAAAJgCAABkcnMvZG93&#10;bnJldi54bWxQSwUGAAAAAAQABAD1AAAAhwMAAAAA&#10;" adj="16603" fillcolor="#004966 [1639]" stroked="f">
                  <v:fill color2="#0087bc [3015]" rotate="t" angle="180" colors="0 #0074ab;52429f #0099e0;1 #009ce6" focus="100%" type="gradient">
                    <o:fill v:ext="view" type="gradientUnscaled"/>
                  </v:fill>
                  <v:shadow on="t" color="black" opacity="22937f" origin=",.5" offset="0,.63889mm"/>
                  <v:textbox style="layout-flow:vertical;mso-layout-flow-alt:bottom-to-top">
                    <w:txbxContent>
                      <w:p w:rsidR="0098525C" w:rsidRPr="008A766D" w:rsidRDefault="0098525C" w:rsidP="008A766D">
                        <w:pPr>
                          <w:jc w:val="center"/>
                          <w:rPr>
                            <w:sz w:val="18"/>
                          </w:rPr>
                        </w:pPr>
                        <w:r>
                          <w:rPr>
                            <w:sz w:val="18"/>
                          </w:rPr>
                          <w:t>60 working days or 6 months for independent investigation</w:t>
                        </w:r>
                      </w:p>
                    </w:txbxContent>
                  </v:textbox>
                </v:shape>
                <v:shape id="Down Arrow 59" o:spid="_x0000_s1049" type="#_x0000_t67" style="position:absolute;left:571;top:60007;width:7334;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H9sUA&#10;AADbAAAADwAAAGRycy9kb3ducmV2LnhtbESPQUvDQBSE74L/YXmCN7sxNtrGbosIFg9CMc3B3B7Z&#10;ZxLMvg3ZZxr/vSsIPQ4z8w2z2c2uVxONofNs4HaRgCKuve24MVAeX25WoIIgW+w9k4EfCrDbXl5s&#10;MLf+xO80FdKoCOGQo4FWZMi1DnVLDsPCD8TR+/SjQ4lybLQd8RThrtdpktxrhx3HhRYHem6p/iq+&#10;nYHJH3yaLavs7qMqD+nxQd7sXoy5vpqfHkEJzXIO/7dfrYFsDX9f4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8f2xQAAANsAAAAPAAAAAAAAAAAAAAAAAJgCAABkcnMv&#10;ZG93bnJldi54bWxQSwUGAAAAAAQABAD1AAAAigMAAAAA&#10;" adj="14674" fillcolor="#004966 [1639]" stroked="f">
                  <v:fill color2="#0087bc [3015]" rotate="t" angle="180" colors="0 #0074ab;52429f #0099e0;1 #009ce6" focus="100%" type="gradient">
                    <o:fill v:ext="view" type="gradientUnscaled"/>
                  </v:fill>
                  <v:shadow on="t" color="black" opacity="22937f" origin=",.5" offset="0,.63889mm"/>
                  <v:textbox style="layout-flow:vertical;mso-layout-flow-alt:bottom-to-top">
                    <w:txbxContent>
                      <w:p w:rsidR="0098525C" w:rsidRPr="00242D51" w:rsidRDefault="0098525C" w:rsidP="00242D51">
                        <w:pPr>
                          <w:jc w:val="center"/>
                          <w:rPr>
                            <w:sz w:val="18"/>
                          </w:rPr>
                        </w:pPr>
                        <w:r w:rsidRPr="00242D51">
                          <w:rPr>
                            <w:sz w:val="18"/>
                          </w:rPr>
                          <w:t>20 days</w:t>
                        </w:r>
                        <w:r>
                          <w:rPr>
                            <w:sz w:val="18"/>
                          </w:rPr>
                          <w:t>*</w:t>
                        </w:r>
                      </w:p>
                    </w:txbxContent>
                  </v:textbox>
                </v:shape>
                <v:rect id="Rectangle 60" o:spid="_x0000_s1050" style="position:absolute;left:16002;top:56673;width:35814;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ZUMAA&#10;AADbAAAADwAAAGRycy9kb3ducmV2LnhtbERPTYvCMBC9C/6HMMJeRFNlFalGEUVYYS+6K16HZmyj&#10;zaQkUeu/3xwWPD7e92LV2lo8yAfjWMFomIEgLpw2XCr4/dkNZiBCRNZYOyYFLwqwWnY7C8y1e/KB&#10;HsdYihTCIUcFVYxNLmUoKrIYhq4hTtzFeYsxQV9K7fGZwm0tx1k2lRYNp4YKG9pUVNyOd6ugOfNp&#10;66/h+n3om9vks3ZmvHdKffTa9RxEpDa+xf/uL61gmtanL+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jZUMAAAADbAAAADwAAAAAAAAAAAAAAAACYAgAAZHJzL2Rvd25y&#10;ZXYueG1sUEsFBgAAAAAEAAQA9QAAAIUDAAAAAA==&#10;" fillcolor="#004966 [1639]" stroked="f">
                  <v:fill color2="#0087bc [3015]" rotate="t" angle="180" colors="0 #0074ab;52429f #0099e0;1 #009ce6" focus="100%" type="gradient">
                    <o:fill v:ext="view" type="gradientUnscaled"/>
                  </v:fill>
                  <v:shadow on="t" color="black" opacity="22937f" origin=",.5" offset="0,.63889mm"/>
                  <v:textbox>
                    <w:txbxContent>
                      <w:p w:rsidR="0098525C" w:rsidRPr="007C6196" w:rsidRDefault="0098525C" w:rsidP="007C6196">
                        <w:pPr>
                          <w:jc w:val="center"/>
                          <w:rPr>
                            <w:sz w:val="18"/>
                          </w:rPr>
                        </w:pPr>
                        <w:r>
                          <w:rPr>
                            <w:sz w:val="18"/>
                          </w:rPr>
                          <w:t>Submit final report and action plan</w:t>
                        </w:r>
                      </w:p>
                    </w:txbxContent>
                  </v:textbox>
                </v:rect>
                <v:rect id="Rectangle 61" o:spid="_x0000_s1051" style="position:absolute;left:16002;top:60579;width:35814;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8y8QA&#10;AADbAAAADwAAAGRycy9kb3ducmV2LnhtbESPQWsCMRSE70L/Q3gFL6JZpS6yNStFKSj0om3p9bF5&#10;3c26eVmSVNd/3xSEHoeZ+YZZbwbbiQv5YBwrmM8yEMSV04ZrBR/vr9MViBCRNXaOScGNAmzKh9Ea&#10;C+2ufKTLKdYiQTgUqKCJsS+kDFVDFsPM9cTJ+3beYkzS11J7vCa47eQiy3Jp0XBaaLCnbUPV+fRj&#10;FfRf/LnzbWjfjhNzXj51ziwOTqnx4/DyDCLSEP/D9/ZeK8jn8Pcl/QB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0fMvEAAAA2wAAAA8AAAAAAAAAAAAAAAAAmAIAAGRycy9k&#10;b3ducmV2LnhtbFBLBQYAAAAABAAEAPUAAACJAwAAAAA=&#10;" fillcolor="#004966 [1639]" stroked="f">
                  <v:fill color2="#0087bc [3015]" rotate="t" angle="180" colors="0 #0074ab;52429f #0099e0;1 #009ce6" focus="100%" type="gradient">
                    <o:fill v:ext="view" type="gradientUnscaled"/>
                  </v:fill>
                  <v:shadow on="t" color="black" opacity="22937f" origin=",.5" offset="0,.63889mm"/>
                  <v:textbox>
                    <w:txbxContent>
                      <w:p w:rsidR="0098525C" w:rsidRDefault="0098525C" w:rsidP="007C6196">
                        <w:pPr>
                          <w:jc w:val="center"/>
                          <w:rPr>
                            <w:sz w:val="18"/>
                          </w:rPr>
                        </w:pPr>
                        <w:r>
                          <w:rPr>
                            <w:sz w:val="18"/>
                          </w:rPr>
                          <w:t>Commissioner (with relevant stakeholders) undertakes a review of the final report and action plan and ensures it meets requirements for a robust investigation (see appendix 8). Feedback given to provider (*calendar days)</w:t>
                        </w:r>
                      </w:p>
                      <w:p w:rsidR="0098525C" w:rsidRPr="007C6196" w:rsidRDefault="0098525C" w:rsidP="007C6196">
                        <w:pPr>
                          <w:jc w:val="center"/>
                          <w:rPr>
                            <w:sz w:val="18"/>
                          </w:rPr>
                        </w:pP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63" o:spid="_x0000_s1052" type="#_x0000_t93" style="position:absolute;left:404;top:68461;width:7811;height:84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XNMEA&#10;AADbAAAADwAAAGRycy9kb3ducmV2LnhtbESPT2sCMRDF7wW/Qxiht5ptF6zdGkUE0VNBa+/DZrpZ&#10;3EzCZupuv70RCj0+3p8fb7kefaeu1Kc2sIHnWQGKuA625cbA+XP3tACVBNliF5gM/FKC9WrysMTK&#10;hoGPdD1Jo/IIpwoNOJFYaZ1qRx7TLETi7H2H3qNk2Tfa9jjkcd/pl6KYa48tZ4LDSFtH9eX04zPX&#10;Hjp9iW9H3r+WH3KOSb6ahTGP03HzDkpolP/wX/tgDcxLuH/JP0Cv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BlzTBAAAA2wAAAA8AAAAAAAAAAAAAAAAAmAIAAGRycy9kb3du&#10;cmV2LnhtbFBLBQYAAAAABAAEAPUAAACGAwAAAAA=&#10;" adj="14949" fillcolor="#004966 [1639]" stroked="f">
                  <v:fill color2="#0087bc [3015]" rotate="t" angle="180" colors="0 #0074ab;52429f #0099e0;1 #009ce6" focus="100%" type="gradient">
                    <o:fill v:ext="view" type="gradientUnscaled"/>
                  </v:fill>
                  <v:shadow on="t" color="black" opacity="22937f" origin=",.5" offset="0,.63889mm"/>
                  <v:textbox style="layout-flow:vertical;mso-layout-flow-alt:bottom-to-top">
                    <w:txbxContent>
                      <w:p w:rsidR="0098525C" w:rsidRPr="00242D51" w:rsidRDefault="0098525C" w:rsidP="00242D51">
                        <w:pPr>
                          <w:jc w:val="center"/>
                          <w:rPr>
                            <w:sz w:val="18"/>
                            <w:szCs w:val="18"/>
                          </w:rPr>
                        </w:pPr>
                        <w:r w:rsidRPr="00242D51">
                          <w:rPr>
                            <w:sz w:val="18"/>
                            <w:szCs w:val="18"/>
                          </w:rPr>
                          <w:t>On-going</w:t>
                        </w:r>
                      </w:p>
                    </w:txbxContent>
                  </v:textbox>
                </v:shape>
                <v:rect id="Rectangle 64" o:spid="_x0000_s1053" style="position:absolute;left:16002;top:69913;width:35814;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fU8MA&#10;AADbAAAADwAAAGRycy9kb3ducmV2LnhtbESPQWsCMRSE70L/Q3hCL6LZioqsRiktBQUvaovXx+a5&#10;G928LEmq6783guBxmJlvmPmytbW4kA/GsYKPQQaCuHDacKngd//Tn4IIEVlj7ZgU3CjAcvHWmWOu&#10;3ZW3dNnFUiQIhxwVVDE2uZShqMhiGLiGOHlH5y3GJH0ptcdrgttaDrNsIi0aTgsVNvRVUXHe/VsF&#10;zYH/vv0pnDbbnjmPR7Uzw7VT6r3bfs5ARGrjK/xsr7SCyQgeX9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PfU8MAAADbAAAADwAAAAAAAAAAAAAAAACYAgAAZHJzL2Rv&#10;d25yZXYueG1sUEsFBgAAAAAEAAQA9QAAAIgDAAAAAA==&#10;" fillcolor="#004966 [1639]" stroked="f">
                  <v:fill color2="#0087bc [3015]" rotate="t" angle="180" colors="0 #0074ab;52429f #0099e0;1 #009ce6" focus="100%" type="gradient">
                    <o:fill v:ext="view" type="gradientUnscaled"/>
                  </v:fill>
                  <v:shadow on="t" color="black" opacity="22937f" origin=",.5" offset="0,.63889mm"/>
                  <v:textbox>
                    <w:txbxContent>
                      <w:p w:rsidR="0098525C" w:rsidRPr="002D1C69" w:rsidRDefault="0098525C" w:rsidP="002D1C69">
                        <w:pPr>
                          <w:jc w:val="center"/>
                          <w:rPr>
                            <w:sz w:val="18"/>
                          </w:rPr>
                        </w:pPr>
                        <w:r>
                          <w:rPr>
                            <w:sz w:val="18"/>
                          </w:rPr>
                          <w:t>Commissioner closes investigation and confirms timescales/mechanism for monitoring the action plan where actions/improvements are still being implemented.</w:t>
                        </w:r>
                      </w:p>
                    </w:txbxContent>
                  </v:textbox>
                </v:rect>
                <v:line id="Straight Connector 65" o:spid="_x0000_s1054" style="position:absolute;visibility:visible;mso-wrap-style:square" from="571,27622" to="65246,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tfcQAAADbAAAADwAAAGRycy9kb3ducmV2LnhtbESPUWvCQBCE34X+h2MLfdOLFoNGT5FC&#10;Qdq+VP0Ba25Ngrm99G6rsb++Vyj4OMzMN8xy3btWXSjExrOB8SgDRVx623Bl4LB/Hc5ARUG22Hom&#10;AzeKsF49DJZYWH/lT7rspFIJwrFAA7VIV2gdy5ocxpHviJN38sGhJBkqbQNeE9y1epJluXbYcFqo&#10;saOXmsrz7tsZ+Hr/2MbbsZ1IPv15O4fNbC7P0Zinx36zACXUyz38395aA/kU/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S19xAAAANsAAAAPAAAAAAAAAAAA&#10;AAAAAKECAABkcnMvZG93bnJldi54bWxQSwUGAAAAAAQABAD5AAAAkgMAAAAA&#10;" strokecolor="#006bbb [3044]"/>
                <v:line id="Straight Connector 66" o:spid="_x0000_s1055" style="position:absolute;visibility:visible;mso-wrap-style:square" from="571,40481" to="65246,40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zCsQAAADbAAAADwAAAGRycy9kb3ducmV2LnhtbESPUWvCQBCE3wv9D8cWfKuXWgwaPUUE&#10;QWxfavsD1tyaBHN76d1WY3+9Vyj4OMzMN8x82btWnSnExrOBl2EGirj0tuHKwNfn5nkCKgqyxdYz&#10;GbhShOXi8WGOhfUX/qDzXiqVIBwLNFCLdIXWsazJYRz6jjh5Rx8cSpKh0jbgJcFdq0dZlmuHDaeF&#10;Gjta11Se9j/OwPfb+zZeD+1I8vHv7hRWk6m8RmMGT/1qBkqol3v4v721BvIc/r6kH6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X7MKxAAAANsAAAAPAAAAAAAAAAAA&#10;AAAAAKECAABkcnMvZG93bnJldi54bWxQSwUGAAAAAAQABAD5AAAAkgMAAAAA&#10;" strokecolor="#006bbb [3044]"/>
                <v:line id="Straight Connector 67" o:spid="_x0000_s1056" style="position:absolute;visibility:visible;mso-wrap-style:square" from="1047,59721" to="65722,5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MWkcQAAADbAAAADwAAAGRycy9kb3ducmV2LnhtbESPUWvCQBCE3wv9D8cKfdOLSqOmniIF&#10;Qdq+aPsD1tw2Ceb20rutxv76XkHo4zAz3zDLde9adaYQG88GxqMMFHHpbcOVgY/37XAOKgqyxdYz&#10;GbhShPXq/m6JhfUX3tP5IJVKEI4FGqhFukLrWNbkMI58R5y8Tx8cSpKh0jbgJcFdqydZlmuHDaeF&#10;Gjt6rqk8Hb6dga/Xt128HtuJ5I8/L6ewmS9kGo15GPSbJ1BCvfyHb+2dNZDP4O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xaRxAAAANsAAAAPAAAAAAAAAAAA&#10;AAAAAKECAABkcnMvZG93bnJldi54bWxQSwUGAAAAAAQABAD5AAAAkgMAAAAA&#10;" strokecolor="#006bbb [3044]"/>
                <v:line id="Straight Connector 68" o:spid="_x0000_s1057" style="position:absolute;visibility:visible;mso-wrap-style:square" from="571,68770" to="65246,68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C48EAAADbAAAADwAAAGRycy9kb3ducmV2LnhtbERPzWrCQBC+F3yHZQRvdaNisKmriCCI&#10;7aW2DzDNTpNgdjbujhr79O6h0OPH979c965VVwqx8WxgMs5AEZfeNlwZ+PrcPS9ARUG22HomA3eK&#10;sF4NnpZYWH/jD7oepVIphGOBBmqRrtA6ljU5jGPfESfuxweHkmCotA14S+Gu1dMsy7XDhlNDjR1t&#10;aypPx4szcH5738f7dzuVfP57OIXN4k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ILjwQAAANsAAAAPAAAAAAAAAAAAAAAA&#10;AKECAABkcnMvZG93bnJldi54bWxQSwUGAAAAAAQABAD5AAAAjwMAAAAA&#10;" strokecolor="#006bbb [3044]"/>
                <v:shapetype id="_x0000_t32" coordsize="21600,21600" o:spt="32" o:oned="t" path="m,l21600,21600e" filled="f">
                  <v:path arrowok="t" fillok="f" o:connecttype="none"/>
                  <o:lock v:ext="edit" shapetype="t"/>
                </v:shapetype>
                <v:shape id="Straight Arrow Connector 69" o:spid="_x0000_s1058" type="#_x0000_t32" style="position:absolute;left:35242;top:17621;width:0;height:5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SYNsQAAADbAAAADwAAAGRycy9kb3ducmV2LnhtbESPQWuDQBSE74H+h+UVckvWNhiszUZE&#10;kPaaNIX29uq+qNR9K+5q7L/PBgI9DjPzDbPLZtOJiQbXWlbwtI5AEFdWt1wrOH2UqwSE88gaO8uk&#10;4I8cZPuHxQ5TbS98oOnoaxEg7FJU0Hjfp1K6qiGDbm174uCd7WDQBznUUg94CXDTyeco2kqDLYeF&#10;BnsqGqp+j6NRsDn/zG+Jz2VSftliHOM4/iy/lVo+zvkrCE+z/w/f2+9awfYFbl/CD5D7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ZJg2xAAAANsAAAAPAAAAAAAAAAAA&#10;AAAAAKECAABkcnMvZG93bnJldi54bWxQSwUGAAAAAAQABAD5AAAAkgMAAAAA&#10;" strokecolor="#006bbb [3044]">
                  <v:stroke endarrow="open"/>
                </v:shape>
                <v:line id="Straight Connector 70" o:spid="_x0000_s1059" style="position:absolute;visibility:visible;mso-wrap-style:square" from="14668,17335" to="53911,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006bbb [3044]"/>
                <v:shape id="Straight Arrow Connector 71" o:spid="_x0000_s1060" type="#_x0000_t32" style="position:absolute;left:14668;top:17430;width:0;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sC7cQAAADbAAAADwAAAGRycy9kb3ducmV2LnhtbESPzWrDMBCE74W8g9hCbrWcFDfGjRJC&#10;wDTXpgkkt621/qHWylhyor59VSj0OMzMN8x6G0wvbjS6zrKCRZKCIK6s7rhRcPoon3IQziNr7C2T&#10;gm9ysN3MHtZYaHvnd7odfSMihF2BClrvh0JKV7Vk0CV2II5ebUeDPsqxkXrEe4SbXi7T9EUa7Dgu&#10;tDjQvqXq6zgZBc/1Z3jL/U7m5cXupynLsnN5VWr+GHavIDwF/x/+ax+0gtUCfr/E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ywLtxAAAANsAAAAPAAAAAAAAAAAA&#10;AAAAAKECAABkcnMvZG93bnJldi54bWxQSwUGAAAAAAQABAD5AAAAkgMAAAAA&#10;" strokecolor="#006bbb [3044]">
                  <v:stroke endarrow="open"/>
                </v:shape>
                <v:shape id="Straight Arrow Connector 72" o:spid="_x0000_s1061" type="#_x0000_t32" style="position:absolute;left:53911;top:17335;width:0;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cmsMAAADbAAAADwAAAGRycy9kb3ducmV2LnhtbESPT4vCMBTE78J+h/AWvGmqS91SjSJC&#10;Wa/+Wdi9PZtnW2xeSpNq/fZGEDwOM/MbZrHqTS2u1LrKsoLJOAJBnFtdcaHgeMhGCQjnkTXWlknB&#10;nRyslh+DBaba3nhH170vRICwS1FB6X2TSunykgy6sW2Ig3e2rUEfZFtI3eItwE0tp1E0kwYrDgsl&#10;NrQpKb/sO6Pg63zqfxK/lkn2ZzddF8fxb/av1PCzX89BeOr9O/xqb7WC7y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ZnJrDAAAA2wAAAA8AAAAAAAAAAAAA&#10;AAAAoQIAAGRycy9kb3ducmV2LnhtbFBLBQYAAAAABAAEAPkAAACRAwAAAAA=&#10;" strokecolor="#006bbb [3044]">
                  <v:stroke endarrow="open"/>
                </v:shape>
                <v:shape id="Straight Arrow Connector 73" o:spid="_x0000_s1062" type="#_x0000_t32" style="position:absolute;left:44281;top:13877;width:41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U5AcIAAADbAAAADwAAAGRycy9kb3ducmV2LnhtbESPT4vCMBTE78J+h/AWvGnqSrVUo4hQ&#10;1qv/YPf2bJ5tsXkpTardb78RBI/DzPyGWa57U4s7ta6yrGAyjkAQ51ZXXCg4HbNRAsJ5ZI21ZVLw&#10;Rw7Wq4/BElNtH7yn+8EXIkDYpaig9L5JpXR5SQbd2DbEwbva1qAPsi2kbvER4KaWX1E0kwYrDgsl&#10;NrQtKb8dOqNger3034nfyCT7sduui+P4nP0qNfzsNwsQnnr/Dr/aO61gPoX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U5AcIAAADbAAAADwAAAAAAAAAAAAAA&#10;AAChAgAAZHJzL2Rvd25yZXYueG1sUEsFBgAAAAAEAAQA+QAAAJADAAAAAA==&#10;" strokecolor="#006bbb [3044]">
                  <v:stroke endarrow="open"/>
                </v:shape>
                <v:shape id="Straight Arrow Connector 74" o:spid="_x0000_s1063" type="#_x0000_t32" style="position:absolute;left:21812;top:13877;width:40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KWe8QAAADbAAAADwAAAGRycy9kb3ducmV2LnhtbESPX2vCMBTF3wf7DuEO9jbTjU5HNYo4&#10;Bg7BUR2Ib9fmri02NyWJtn57Iwh7PJw/P85k1ptGnMn52rKC10ECgriwuuZSwe/26+UDhA/IGhvL&#10;pOBCHmbTx4cJZtp2nNN5E0oRR9hnqKAKoc2k9EVFBv3AtsTR+7POYIjSlVI77OK4aeRbkgylwZoj&#10;ocKWFhUVx83JRMhnmr+vdqtDSvn8pzt879fB7ZV6furnYxCB+vAfvreXWsEohduX+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gpZ7xAAAANsAAAAPAAAAAAAAAAAA&#10;AAAAAKECAABkcnMvZG93bnJldi54bWxQSwUGAAAAAAQABAD5AAAAkgMAAAAA&#10;" strokecolor="#006bbb [3044]">
                  <v:stroke endarrow="open"/>
                </v:shape>
                <v:shape id="Straight Arrow Connector 76" o:spid="_x0000_s1064" type="#_x0000_t32" style="position:absolute;left:34861;top:3333;width:0;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KamcQAAADbAAAADwAAAGRycy9kb3ducmV2LnhtbESPQWuDQBSE74H+h+UVckvWNpiKzUZE&#10;kPaaNIX29uq+qNR9K+5q7L/PBgI9DjPzDbPLZtOJiQbXWlbwtI5AEFdWt1wrOH2UqwSE88gaO8uk&#10;4I8cZPuHxQ5TbS98oOnoaxEg7FJU0Hjfp1K6qiGDbm174uCd7WDQBznUUg94CXDTyeco2kqDLYeF&#10;BnsqGqp+j6NRsDn/zG+Jz2VSftliHOM4/iy/lVo+zvkrCE+z/w/f2+9awcsWbl/CD5D7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pqZxAAAANsAAAAPAAAAAAAAAAAA&#10;AAAAAKECAABkcnMvZG93bnJldi54bWxQSwUGAAAAAAQABAD5AAAAkgMAAAAA&#10;" strokecolor="#006bbb [3044]">
                  <v:stroke endarrow="open"/>
                </v:shape>
                <v:shape id="Straight Arrow Connector 77" o:spid="_x0000_s1065" type="#_x0000_t32" style="position:absolute;left:35242;top:8438;width:0;height:19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AIDMQAAADbAAAADwAAAGRycy9kb3ducmV2LnhtbESPX2vCMBTF3wW/Q7jC3jTd0HVUo4hj&#10;oAiTuoH4dm3u2mJzU5Jou2+/DAZ7PJw/P85i1ZtG3Mn52rKCx0kCgriwuuZSwefH2/gFhA/IGhvL&#10;pOCbPKyWw8ECM207zul+DKWII+wzVFCF0GZS+qIig35iW+LofVlnMETpSqkddnHcNPIpSZ6lwZoj&#10;ocKWNhUV1+PNRMjrNJ/tT/vLlPL1obvszu/BnZV6GPXrOYhAffgP/7W3WkGawu+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UAgMxAAAANsAAAAPAAAAAAAAAAAA&#10;AAAAAKECAABkcnMvZG93bnJldi54bWxQSwUGAAAAAAQABAD5AAAAkgMAAAAA&#10;" strokecolor="#006bbb [3044]">
                  <v:stroke endarrow="open"/>
                </v:shape>
                <v:shape id="Straight Arrow Connector 78" o:spid="_x0000_s1066" type="#_x0000_t32" style="position:absolute;left:35242;top:27146;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GrcMEAAADbAAAADwAAAGRycy9kb3ducmV2LnhtbERPy0rDQBTdC/7DcIXuzERLNKSZhFII&#10;um2toLvbzM0DM3dCZtLGv+8sCl0ezjsvFzOIM02ut6zgJYpBENdW99wqOH5VzykI55E1DpZJwT85&#10;KIvHhxwzbS+8p/PBtyKEsMtQQef9mEnp6o4MusiOxIFr7GTQBzi1Uk94CeFmkK9x/CYN9hwaOhxp&#10;11H9d5iNgnVzWj5Sv5Vp9WN385wkyXf1q9TqadluQHha/F18c39qBe9hbPgSfoAs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8atwwQAAANsAAAAPAAAAAAAAAAAAAAAA&#10;AKECAABkcnMvZG93bnJldi54bWxQSwUGAAAAAAQABAD5AAAAjwMAAAAA&#10;" strokecolor="#006bbb [3044]">
                  <v:stroke endarrow="open"/>
                </v:shape>
                <v:shape id="Straight Arrow Connector 79" o:spid="_x0000_s1067" type="#_x0000_t32" style="position:absolute;left:35242;top:34290;width:0;height:10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0O68MAAADbAAAADwAAAGRycy9kb3ducmV2LnhtbESPQWvCQBSE70L/w/IKvZlNldgYXUWE&#10;UK/VFurtmX0modm3IbvR+O+7guBxmJlvmOV6MI24UOdqywreoxgEcWF1zaWC70M+TkE4j6yxsUwK&#10;buRgvXoZLTHT9spfdNn7UgQIuwwVVN63mZSuqMigi2xLHLyz7Qz6ILtS6g6vAW4aOYnjmTRYc1io&#10;sKVtRcXfvjcKpufT8Jn6jUzzX7vt+yRJfvKjUm+vw2YBwtPgn+FHe6cVfMzh/iX8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9DuvDAAAA2wAAAA8AAAAAAAAAAAAA&#10;AAAAoQIAAGRycy9kb3ducmV2LnhtbFBLBQYAAAAABAAEAPkAAACRAwAAAAA=&#10;" strokecolor="#006bbb [3044]">
                  <v:stroke endarrow="open"/>
                </v:shape>
                <v:shape id="Straight Arrow Connector 80" o:spid="_x0000_s1068" type="#_x0000_t32" style="position:absolute;left:35242;top:39243;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LXUb8AAADbAAAADwAAAGRycy9kb3ducmV2LnhtbERPy4rCMBTdD/gP4Q6403SUSumYighF&#10;t75Ad9fm9sE0N6VJtf79ZDEwy8N5rzejacWTetdYVvA1j0AQF1Y3XCm4nPNZAsJ5ZI2tZVLwJgeb&#10;bPKxxlTbFx/pefKVCCHsUlRQe9+lUrqiJoNubjviwJW2N+gD7Cupe3yFcNPKRRStpMGGQ0ONHe1q&#10;Kn5Og1GwLB/jPvFbmeQ3uxuGOI6v+V2p6ee4/QbhafT/4j/3QStIwvrwJfwAm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lLXUb8AAADbAAAADwAAAAAAAAAAAAAAAACh&#10;AgAAZHJzL2Rvd25yZXYueG1sUEsFBgAAAAAEAAQA+QAAAI0DAAAAAA==&#10;" strokecolor="#006bbb [3044]">
                  <v:stroke endarrow="open"/>
                </v:shape>
                <v:shape id="Straight Arrow Connector 81" o:spid="_x0000_s1069" type="#_x0000_t32" style="position:absolute;left:35242;top:44005;width:0;height:1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5yysEAAADbAAAADwAAAGRycy9kb3ducmV2LnhtbESPQYvCMBSE7wv+h/AEb2uq0qVUo4hQ&#10;9Lq6gt6ezbMtNi+lSbX++40geBxm5htmsepNLe7Uusqygsk4AkGcW11xoeDvkH0nIJxH1lhbJgVP&#10;crBaDr4WmGr74F+6730hAoRdigpK75tUSpeXZNCNbUMcvKttDfog20LqFh8Bbmo5jaIfabDisFBi&#10;Q5uS8tu+Mwpm10u/TfxaJtnJbroujuNjdlZqNOzXcxCeev8Jv9s7rSCZwOtL+A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nLKwQAAANsAAAAPAAAAAAAAAAAAAAAA&#10;AKECAABkcnMvZG93bnJldi54bWxQSwUGAAAAAAQABAD5AAAAjwMAAAAA&#10;" strokecolor="#006bbb [3044]">
                  <v:stroke endarrow="open"/>
                </v:shape>
                <v:shape id="Straight Arrow Connector 82" o:spid="_x0000_s1070" type="#_x0000_t32" style="position:absolute;left:35242;top:54768;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zsvcEAAADbAAAADwAAAGRycy9kb3ducmV2LnhtbESPQYvCMBSE7wv+h/AEb2uqS5dSjSJC&#10;ca/qCnp7Ns+22LyUJtX6740geBxm5htmvuxNLW7Uusqygsk4AkGcW11xoeB/n30nIJxH1lhbJgUP&#10;crBcDL7mmGp75y3ddr4QAcIuRQWl900qpctLMujGtiEO3sW2Bn2QbSF1i/cAN7WcRtGvNFhxWCix&#10;oXVJ+XXXGQU/l3O/SfxKJtnRrrsujuNDdlJqNOxXMxCeev8Jv9t/WkEyhdeX8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zOy9wQAAANsAAAAPAAAAAAAAAAAAAAAA&#10;AKECAABkcnMvZG93bnJldi54bWxQSwUGAAAAAAQABAD5AAAAjwMAAAAA&#10;" strokecolor="#006bbb [3044]">
                  <v:stroke endarrow="open"/>
                </v:shape>
                <v:shape id="Straight Arrow Connector 83" o:spid="_x0000_s1071" type="#_x0000_t32" style="position:absolute;left:35242;top:59150;width:0;height:1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BJJsIAAADbAAAADwAAAGRycy9kb3ducmV2LnhtbESPT4vCMBTE78J+h/AW9mbTXamUahQR&#10;il79B+7tbfNsi81LaVLtfnsjCB6HmfkNM18OphE36lxtWcF3FIMgLqyuuVRwPOTjFITzyBoby6Tg&#10;nxwsFx+jOWba3nlHt70vRYCwy1BB5X2bSemKigy6yLbEwbvYzqAPsiul7vAe4KaRP3E8lQZrDgsV&#10;trSuqLjue6NgcvkbNqlfyTQ/23XfJ0lyyn+V+vocVjMQngb/Dr/aW60gncDzS/g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BJJsIAAADbAAAADwAAAAAAAAAAAAAA&#10;AAChAgAAZHJzL2Rvd25yZXYueG1sUEsFBgAAAAAEAAQA+QAAAJADAAAAAA==&#10;" strokecolor="#006bbb [3044]">
                  <v:stroke endarrow="open"/>
                </v:shape>
                <v:shape id="Straight Arrow Connector 84" o:spid="_x0000_s1072" type="#_x0000_t32" style="position:absolute;left:35242;top:66960;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nRUsIAAADbAAAADwAAAGRycy9kb3ducmV2LnhtbESPT4vCMBTE78J+h/AW9qbprlZKNYoI&#10;xb36D/T2bJ5tsXkpTardb78RBI/DzPyGmS97U4s7ta6yrOB7FIEgzq2uuFBw2GfDBITzyBpry6Tg&#10;jxwsFx+DOabaPnhL950vRICwS1FB6X2TSunykgy6kW2Ig3e1rUEfZFtI3eIjwE0tf6JoKg1WHBZK&#10;bGhdUn7bdUbB+HrpN4lfySQ72XXXxXF8zM5KfX32qxkIT71/h1/tX60gmcDzS/g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WnRUsIAAADbAAAADwAAAAAAAAAAAAAA&#10;AAChAgAAZHJzL2Rvd25yZXYueG1sUEsFBgAAAAAEAAQA+QAAAJADAAAAAA==&#10;" strokecolor="#006bbb [3044]">
                  <v:stroke endarrow="open"/>
                </v:shape>
                <v:shape id="Striped Right Arrow 85" o:spid="_x0000_s1073" type="#_x0000_t93" style="position:absolute;left:38293;top:47819;width:49863;height:499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wt8UA&#10;AADbAAAADwAAAGRycy9kb3ducmV2LnhtbESPQWvCQBSE74L/YXlCL1I3tSgSsxEVpO2prRV6fWSf&#10;STT7dptdY/z33YLQ4zAz3zDZqjeN6Kj1tWUFT5MEBHFhdc2lgsPX7nEBwgdkjY1lUnAjD6t8OMgw&#10;1fbKn9TtQykihH2KCqoQXCqlLyoy6CfWEUfvaFuDIcq2lLrFa4SbRk6TZC4N1hwXKnS0rag47y9G&#10;wfzwfXu5PG/cadu5t5/+/UOPXanUw6hfL0EE6sN/+N5+1QoW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8nC3xQAAANsAAAAPAAAAAAAAAAAAAAAAAJgCAABkcnMv&#10;ZG93bnJldi54bWxQSwUGAAAAAAQABAD1AAAAigMAAAAA&#10;" adj="20518,2314" fillcolor="#001c4a [1640]" stroked="f">
                  <v:fill color2="#003489 [3016]" rotate="t" angle="180" colors="0 #00227c;52429f #0031a4;1 #0030a8" focus="100%" type="gradient">
                    <o:fill v:ext="view" type="gradientUnscaled"/>
                  </v:fill>
                  <v:shadow on="t" color="black" opacity="22937f" origin=",.5" offset="0,.63889mm"/>
                  <v:textbox>
                    <w:txbxContent>
                      <w:p w:rsidR="0098525C" w:rsidRPr="002A6FD1" w:rsidRDefault="0098525C" w:rsidP="002A6FD1">
                        <w:pPr>
                          <w:jc w:val="center"/>
                          <w:rPr>
                            <w:sz w:val="18"/>
                          </w:rPr>
                        </w:pPr>
                        <w:r w:rsidRPr="002A6FD1">
                          <w:rPr>
                            <w:sz w:val="18"/>
                          </w:rPr>
                          <w:t xml:space="preserve">Opportunities for feedback and learning identified and information shared </w:t>
                        </w:r>
                      </w:p>
                    </w:txbxContent>
                  </v:textbox>
                </v:shape>
                <v:rect id="Rectangle 130" o:spid="_x0000_s1074" style="position:absolute;left:23812;top:10419;width:5144;height:2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7VqcQA&#10;AADcAAAADwAAAGRycy9kb3ducmV2LnhtbESP0UoDQQxF3wX/YYjgm51tBVvWTotYChYKpa0fEHfi&#10;7uIms86M2+3fmwfBt4R7c+/Jcj1yZwaKqQ3iYDopwJBUwbdSO3g/bx8WYFJG8dgFIQdXSrBe3d4s&#10;sfThIkcaTrk2GiKpRAdNzn1pbaoaYkyT0JOo9hkiY9Y11tZHvGg4d3ZWFE+WsRVtaLCn14aqr9MP&#10;Ozj47+l802/jwB+7Yb/n6hA5OXd/N748g8k05n/z3/WbV/xHxddndAK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e1anEAAAA3AAAAA8AAAAAAAAAAAAAAAAAmAIAAGRycy9k&#10;b3ducmV2LnhtbFBLBQYAAAAABAAEAPUAAACJAwAAAAA=&#10;" fillcolor="white [3201]" stroked="f" strokeweight="2pt">
                  <v:textbox>
                    <w:txbxContent>
                      <w:p w:rsidR="0098525C" w:rsidRPr="00F31565" w:rsidRDefault="0098525C" w:rsidP="001C2A5F">
                        <w:pPr>
                          <w:jc w:val="center"/>
                          <w:rPr>
                            <w:b/>
                            <w:color w:val="C00000"/>
                            <w:sz w:val="18"/>
                          </w:rPr>
                        </w:pPr>
                        <w:r w:rsidRPr="00F31565">
                          <w:rPr>
                            <w:b/>
                            <w:color w:val="C00000"/>
                            <w:sz w:val="18"/>
                          </w:rPr>
                          <w:t>No</w:t>
                        </w:r>
                      </w:p>
                    </w:txbxContent>
                  </v:textbox>
                </v:rect>
                <v:rect id="Rectangle 132" o:spid="_x0000_s1075" style="position:absolute;left:29622;top:19230;width:5144;height:2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5ZcAA&#10;AADcAAAADwAAAGRycy9kb3ducmV2LnhtbERPTWvCQBC9F/oflin0VjcqiERXEaHFQw8axfMkO26C&#10;2dmwuybpv+8Khd7m8T5nvR1tK3ryoXGsYDrJQBBXTjdsFFzOnx9LECEia2wdk4IfCrDdvL6sMddu&#10;4BP1RTQihXDIUUEdY5dLGaqaLIaJ64gTd3PeYkzQG6k9DinctnKWZQtpseHUUGNH+5qqe/GwCvrv&#10;6bHU8+vdFF/R+AHL1qBX6v1t3K1ARBrjv/jPfdBp/nwGz2fSB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p5ZcAAAADcAAAADwAAAAAAAAAAAAAAAACYAgAAZHJzL2Rvd25y&#10;ZXYueG1sUEsFBgAAAAAEAAQA9QAAAIUDAAAAAA==&#10;" fillcolor="window" stroked="f" strokeweight="2pt">
                  <v:textbox>
                    <w:txbxContent>
                      <w:p w:rsidR="0098525C" w:rsidRPr="00F31565" w:rsidRDefault="0098525C" w:rsidP="001C2A5F">
                        <w:pPr>
                          <w:pStyle w:val="NormalWeb"/>
                          <w:spacing w:before="0" w:beforeAutospacing="0" w:after="0" w:afterAutospacing="0"/>
                          <w:jc w:val="center"/>
                          <w:rPr>
                            <w:b/>
                            <w:color w:val="C00000"/>
                          </w:rPr>
                        </w:pPr>
                        <w:r w:rsidRPr="00F31565">
                          <w:rPr>
                            <w:rFonts w:ascii="Arial" w:eastAsia="Times New Roman" w:hAnsi="Arial"/>
                            <w:b/>
                            <w:color w:val="C00000"/>
                            <w:sz w:val="18"/>
                            <w:szCs w:val="18"/>
                          </w:rPr>
                          <w:t>Yes</w:t>
                        </w:r>
                      </w:p>
                    </w:txbxContent>
                  </v:textbox>
                </v:rect>
                <v:shape id="Straight Arrow Connector 202" o:spid="_x0000_s1076" type="#_x0000_t32" style="position:absolute;left:39358;top:15703;width:90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i+b8UAAADcAAAADwAAAGRycy9kb3ducmV2LnhtbESPX2vCMBTF3wd+h3AF32ZqcWNUo4hj&#10;4BAcVUF8uzbXttjclCSz3bc3g8EeD+fPjzNf9qYRd3K+tqxgMk5AEBdW11wqOB4+nt9A+ICssbFM&#10;Cn7Iw3IxeJpjpm3HOd33oRRxhH2GCqoQ2kxKX1Rk0I9tSxy9q3UGQ5SulNphF8dNI9MkeZUGa46E&#10;CltaV1Tc9t8mQt6n+cv2tL1MKV99dZfP8y64s1KjYb+agQjUh//wX3ujFaRJCr9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i+b8UAAADcAAAADwAAAAAAAAAA&#10;AAAAAAChAgAAZHJzL2Rvd25yZXYueG1sUEsFBgAAAAAEAAQA+QAAAJMDAAAAAA==&#10;" strokecolor="#006bbb [3044]">
                  <v:stroke endarrow="open"/>
                </v:shape>
                <v:shape id="Straight Arrow Connector 203" o:spid="_x0000_s1077" type="#_x0000_t32" style="position:absolute;left:11231;top:14925;width:0;height:3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3AEcQAAADcAAAADwAAAGRycy9kb3ducmV2LnhtbESPQWuDQBSE74H+h+UVeotrIhYxWSUE&#10;pL02baC9vbgvKnHfirtG+++7hUKPw8x8w+zLxfTiTqPrLCvYRDEI4trqjhsFH+/VOgPhPLLG3jIp&#10;+CYHZfGw2mOu7cxvdD/5RgQIuxwVtN4PuZSubsmgi+xAHLyrHQ36IMdG6hHnADe93MbxszTYcVho&#10;caBjS/XtNBkFyfWyvGT+ILPq0x6nKU3Tc/Wl1NPjctiB8LT4//Bf+1Ur2MYJ/J4JR0A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DcARxAAAANwAAAAPAAAAAAAAAAAA&#10;AAAAAKECAABkcnMvZG93bnJldi54bWxQSwUGAAAAAAQABAD5AAAAkgMAAAAA&#10;" strokecolor="#006bbb [3044]">
                  <v:stroke endarrow="open"/>
                </v:shape>
                <v:shape id="Striped Right Arrow 204" o:spid="_x0000_s1078" type="#_x0000_t93" style="position:absolute;left:32583;top:48206;width:49860;height:499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3FMIA&#10;AADcAAAADwAAAGRycy9kb3ducmV2LnhtbESPQWsCMRSE7wX/Q3iCt5pVbJGtUaqg9tioeH5sXpOl&#10;m5dlE9f13zeFQo/DzHzDrDaDb0RPXawDK5hNCxDEVTA1WwWX8/55CSImZINNYFLwoAib9ehphaUJ&#10;d9bUn5IVGcKxRAUupbaUMlaOPMZpaImz9xU6jynLzkrT4T3DfSPnRfEqPdacFxy2tHNUfZ9uXkF/&#10;OBhtj9tzzfpFX2fRahc/lZqMh/c3EImG9B/+a38YBfNiAb9n8h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PcUwgAAANwAAAAPAAAAAAAAAAAAAAAAAJgCAABkcnMvZG93&#10;bnJldi54bWxQSwUGAAAAAAQABAD1AAAAhwMAAAAA&#10;" adj="20519,2314" fillcolor="#51002a [1637]" stroked="f">
                  <v:fill color2="#95004e [3013]" rotate="t" angle="180" colors="0 #87003c;52429f #b20052;1 #b70053" focus="100%" type="gradient">
                    <o:fill v:ext="view" type="gradientUnscaled"/>
                  </v:fill>
                  <v:shadow on="t" color="black" opacity="22937f" origin=",.5" offset="0,.63889mm"/>
                  <v:textbox>
                    <w:txbxContent>
                      <w:p w:rsidR="0098525C" w:rsidRPr="00872C9D" w:rsidRDefault="0098525C" w:rsidP="00872C9D">
                        <w:pPr>
                          <w:pStyle w:val="NormalWeb"/>
                          <w:spacing w:before="0" w:beforeAutospacing="0" w:after="0" w:afterAutospacing="0"/>
                          <w:jc w:val="center"/>
                          <w:rPr>
                            <w:rFonts w:ascii="Arial" w:hAnsi="Arial" w:cs="Arial"/>
                            <w:sz w:val="20"/>
                          </w:rPr>
                        </w:pPr>
                        <w:r w:rsidRPr="00872C9D">
                          <w:rPr>
                            <w:rFonts w:ascii="Arial" w:hAnsi="Arial" w:cs="Arial"/>
                            <w:sz w:val="20"/>
                          </w:rPr>
                          <w:t>Support and involve those affected</w:t>
                        </w:r>
                        <w:r>
                          <w:rPr>
                            <w:rFonts w:ascii="Arial" w:hAnsi="Arial" w:cs="Arial"/>
                            <w:sz w:val="20"/>
                          </w:rPr>
                          <w:t xml:space="preserve"> (including patients, victims and their families and staff)</w:t>
                        </w:r>
                      </w:p>
                    </w:txbxContent>
                  </v:textbox>
                </v:shape>
                <w10:anchorlock/>
              </v:group>
            </w:pict>
          </mc:Fallback>
        </mc:AlternateContent>
      </w:r>
      <w:bookmarkEnd w:id="42"/>
      <w:r w:rsidR="009A19FC">
        <w:br w:type="page"/>
      </w:r>
    </w:p>
    <w:p w:rsidR="003A0E06" w:rsidRDefault="003A0E06" w:rsidP="002F11B3">
      <w:pPr>
        <w:pStyle w:val="Heading1"/>
        <w:numPr>
          <w:ilvl w:val="0"/>
          <w:numId w:val="8"/>
        </w:numPr>
      </w:pPr>
      <w:bookmarkStart w:id="43" w:name="_Toc414568055"/>
      <w:r>
        <w:t>Identification and immediate action</w:t>
      </w:r>
      <w:bookmarkEnd w:id="43"/>
    </w:p>
    <w:p w:rsidR="00D04F41" w:rsidRDefault="00D04F41" w:rsidP="00D04F41"/>
    <w:p w:rsidR="000748B2" w:rsidRDefault="000748B2" w:rsidP="000748B2">
      <w:r w:rsidRPr="000748B2">
        <w:t xml:space="preserve">Serious </w:t>
      </w:r>
      <w:r w:rsidR="003C20EC">
        <w:t>i</w:t>
      </w:r>
      <w:r w:rsidRPr="000748B2">
        <w:t>ncidents</w:t>
      </w:r>
      <w:r w:rsidR="007026AA">
        <w:t xml:space="preserve"> or suspected serious incident</w:t>
      </w:r>
      <w:r w:rsidR="00363FF3">
        <w:t>s</w:t>
      </w:r>
      <w:r w:rsidRPr="000748B2">
        <w:t xml:space="preserve"> must be declared internally as soon as the healthcare provide</w:t>
      </w:r>
      <w:r w:rsidR="006E4FE5">
        <w:t>r becomes aware of the</w:t>
      </w:r>
      <w:r w:rsidR="007026AA">
        <w:t xml:space="preserve"> incident</w:t>
      </w:r>
      <w:r w:rsidRPr="000748B2">
        <w:t xml:space="preserve">. </w:t>
      </w:r>
      <w:r w:rsidR="007026AA">
        <w:t>A</w:t>
      </w:r>
      <w:r w:rsidRPr="000748B2">
        <w:t xml:space="preserve"> senior manager or clinician should be identified by the health care provider’s chief executive or equivalent, or the officer with relevant delegated authority, to undertake the following:</w:t>
      </w:r>
    </w:p>
    <w:p w:rsidR="007026AA" w:rsidRPr="009C1A45" w:rsidRDefault="007026AA" w:rsidP="000748B2">
      <w:pPr>
        <w:rPr>
          <w:b/>
          <w:sz w:val="6"/>
          <w:szCs w:val="6"/>
        </w:rPr>
      </w:pPr>
    </w:p>
    <w:p w:rsidR="000748B2" w:rsidRPr="000748B2" w:rsidRDefault="000748B2" w:rsidP="0072371B">
      <w:pPr>
        <w:numPr>
          <w:ilvl w:val="0"/>
          <w:numId w:val="13"/>
        </w:numPr>
      </w:pPr>
      <w:r w:rsidRPr="000748B2">
        <w:t xml:space="preserve">Arrange for any immediate actions required to ensure the safety of the patient(s), other services users and staff. </w:t>
      </w:r>
    </w:p>
    <w:p w:rsidR="000748B2" w:rsidRDefault="000748B2" w:rsidP="0072371B">
      <w:pPr>
        <w:numPr>
          <w:ilvl w:val="0"/>
          <w:numId w:val="13"/>
        </w:numPr>
      </w:pPr>
      <w:r w:rsidRPr="000748B2">
        <w:t>Obtain all relevant physical, scientific and documentary evidence, and make sure it is secure and preserved.</w:t>
      </w:r>
      <w:r w:rsidR="007026AA">
        <w:t xml:space="preserve"> Initial actions of local managers in the collection and retention of information </w:t>
      </w:r>
      <w:r w:rsidR="003C20EC">
        <w:t>are</w:t>
      </w:r>
      <w:r w:rsidR="007026AA">
        <w:t xml:space="preserve"> import</w:t>
      </w:r>
      <w:r w:rsidR="006E4FE5">
        <w:t>ant for</w:t>
      </w:r>
      <w:r w:rsidR="007026AA">
        <w:t xml:space="preserve"> the overall integrity of the investigation process</w:t>
      </w:r>
      <w:r w:rsidR="003C20EC">
        <w:t>.</w:t>
      </w:r>
      <w:r w:rsidR="00740B2C">
        <w:rPr>
          <w:rStyle w:val="FootnoteReference"/>
        </w:rPr>
        <w:footnoteReference w:id="35"/>
      </w:r>
    </w:p>
    <w:p w:rsidR="007026AA" w:rsidRPr="000748B2" w:rsidRDefault="007026AA" w:rsidP="0072371B">
      <w:pPr>
        <w:pStyle w:val="ListParagraph"/>
        <w:numPr>
          <w:ilvl w:val="0"/>
          <w:numId w:val="13"/>
        </w:numPr>
      </w:pPr>
      <w:r w:rsidRPr="007026AA">
        <w:t>Identify witnesses, including staff, and other service users, to ensure they receive effective support.</w:t>
      </w:r>
    </w:p>
    <w:p w:rsidR="000748B2" w:rsidRDefault="000748B2" w:rsidP="0072371B">
      <w:pPr>
        <w:numPr>
          <w:ilvl w:val="0"/>
          <w:numId w:val="13"/>
        </w:numPr>
      </w:pPr>
      <w:r w:rsidRPr="000748B2">
        <w:t>Identify an appropriate specialist/clinician</w:t>
      </w:r>
      <w:r w:rsidRPr="000748B2">
        <w:rPr>
          <w:vertAlign w:val="superscript"/>
        </w:rPr>
        <w:footnoteReference w:id="36"/>
      </w:r>
      <w:r w:rsidRPr="000748B2">
        <w:t xml:space="preserve"> to conduct an initial incident review </w:t>
      </w:r>
      <w:r w:rsidR="00D003B9">
        <w:t>(characteristically</w:t>
      </w:r>
      <w:r w:rsidR="007026AA">
        <w:t xml:space="preserve"> termed the</w:t>
      </w:r>
      <w:r w:rsidRPr="000748B2">
        <w:t xml:space="preserve"> 72-</w:t>
      </w:r>
      <w:r w:rsidR="007026AA">
        <w:t>hour review) to confirm whether a serious incident has occurred</w:t>
      </w:r>
      <w:r w:rsidR="003C2EDC">
        <w:t xml:space="preserve"> </w:t>
      </w:r>
      <w:r w:rsidR="003C20EC">
        <w:t xml:space="preserve">and </w:t>
      </w:r>
      <w:r w:rsidR="003C2EDC">
        <w:t>if applicable</w:t>
      </w:r>
      <w:r w:rsidR="007026AA">
        <w:t>, the level of inv</w:t>
      </w:r>
      <w:r w:rsidR="006E4FE5">
        <w:t>estigation required and to outline</w:t>
      </w:r>
      <w:r w:rsidR="007026AA">
        <w:t xml:space="preserve"> immediate action taken</w:t>
      </w:r>
      <w:r w:rsidR="00E140DE">
        <w:t xml:space="preserve"> (including where other organisations/partners have been informed)</w:t>
      </w:r>
    </w:p>
    <w:p w:rsidR="007026AA" w:rsidRPr="000748B2" w:rsidRDefault="007026AA" w:rsidP="0072371B">
      <w:pPr>
        <w:pStyle w:val="ListParagraph"/>
        <w:numPr>
          <w:ilvl w:val="0"/>
          <w:numId w:val="13"/>
        </w:numPr>
      </w:pPr>
      <w:r w:rsidRPr="007026AA">
        <w:t>Ensure commissioners</w:t>
      </w:r>
      <w:r>
        <w:t xml:space="preserve"> and other </w:t>
      </w:r>
      <w:r w:rsidR="009D5416">
        <w:t xml:space="preserve">relevant </w:t>
      </w:r>
      <w:r>
        <w:t>parties (</w:t>
      </w:r>
      <w:r w:rsidR="009D5416">
        <w:t xml:space="preserve">for example, </w:t>
      </w:r>
      <w:r w:rsidR="00302595">
        <w:t>police</w:t>
      </w:r>
      <w:r>
        <w:t>, Safeguarding Professionals</w:t>
      </w:r>
      <w:r w:rsidR="006532A1">
        <w:t>,</w:t>
      </w:r>
      <w:r w:rsidR="006532A1" w:rsidRPr="006532A1">
        <w:t xml:space="preserve"> the Information Commissioner’s Office</w:t>
      </w:r>
      <w:r>
        <w:t>)</w:t>
      </w:r>
      <w:r w:rsidRPr="007026AA">
        <w:t xml:space="preserve"> are informed at the earliest opportunity and within </w:t>
      </w:r>
      <w:r w:rsidR="00333364">
        <w:t>2 working days</w:t>
      </w:r>
      <w:r w:rsidRPr="007026AA">
        <w:t xml:space="preserve"> of a serious incident being identified. </w:t>
      </w:r>
    </w:p>
    <w:p w:rsidR="00662358" w:rsidRDefault="00662358" w:rsidP="0072371B">
      <w:pPr>
        <w:numPr>
          <w:ilvl w:val="0"/>
          <w:numId w:val="13"/>
        </w:numPr>
      </w:pPr>
      <w:r w:rsidRPr="00662358">
        <w:t>Agree who will make the initial contact with those involved, or their family/carer(s). Where an individual(s) has been harmed by the actions of a patient, particular thought should</w:t>
      </w:r>
      <w:r>
        <w:t xml:space="preserve"> be</w:t>
      </w:r>
      <w:r w:rsidRPr="00662358">
        <w:t xml:space="preserve"> given to who is best placed to contact the victim and/or their family. </w:t>
      </w:r>
      <w:r w:rsidR="009823A6">
        <w:t>Where necessary t</w:t>
      </w:r>
      <w:r w:rsidRPr="00662358">
        <w:t>he provider must contact the police and agree with them who will make the initial contact with the victim(s), their family/carer(s) and/or the perpetrator’s family. Those involved should have a single point of contact within the provider organisation.</w:t>
      </w:r>
    </w:p>
    <w:p w:rsidR="007026AA" w:rsidRDefault="007026AA" w:rsidP="0072371B">
      <w:pPr>
        <w:numPr>
          <w:ilvl w:val="0"/>
          <w:numId w:val="13"/>
        </w:numPr>
      </w:pPr>
      <w:r>
        <w:t>Arrange appropriate meeting(s) with key stakeholders, including patients/victims and their families/carers as required.</w:t>
      </w:r>
    </w:p>
    <w:p w:rsidR="007026AA" w:rsidRDefault="007026AA" w:rsidP="0072371B">
      <w:pPr>
        <w:numPr>
          <w:ilvl w:val="0"/>
          <w:numId w:val="13"/>
        </w:numPr>
      </w:pPr>
      <w:r>
        <w:t>Ensure the incident is appropriately logged on the serious incident management system STEIS (the Strategic Executive Information System, NHS England’s web-based serious incident management system) or it</w:t>
      </w:r>
      <w:r w:rsidR="00962CB4">
        <w:t xml:space="preserve">s successor system (see </w:t>
      </w:r>
      <w:r w:rsidR="003C20EC">
        <w:t>P</w:t>
      </w:r>
      <w:r w:rsidR="00962CB4">
        <w:t xml:space="preserve">art </w:t>
      </w:r>
      <w:r w:rsidR="003C20EC">
        <w:t>T</w:t>
      </w:r>
      <w:r w:rsidR="00962CB4">
        <w:t xml:space="preserve">hree; section 3 </w:t>
      </w:r>
      <w:r>
        <w:t xml:space="preserve">below). </w:t>
      </w:r>
      <w:r w:rsidR="009D5416">
        <w:t>Some incident types require additional reporting</w:t>
      </w:r>
      <w:r w:rsidR="00831E98">
        <w:t xml:space="preserve"> to other systems</w:t>
      </w:r>
      <w:r w:rsidR="009D5416">
        <w:t>.</w:t>
      </w:r>
      <w:r w:rsidR="0039136B">
        <w:t xml:space="preserve"> See appendix 2 for further details. </w:t>
      </w:r>
    </w:p>
    <w:p w:rsidR="000748B2" w:rsidRPr="000748B2" w:rsidRDefault="000748B2" w:rsidP="000748B2">
      <w:pPr>
        <w:ind w:left="360"/>
      </w:pPr>
    </w:p>
    <w:p w:rsidR="000748B2" w:rsidRDefault="000D296A" w:rsidP="000748B2">
      <w:r>
        <w:t xml:space="preserve">As discussed in </w:t>
      </w:r>
      <w:r w:rsidR="003C20EC">
        <w:t>P</w:t>
      </w:r>
      <w:r>
        <w:t xml:space="preserve">art </w:t>
      </w:r>
      <w:r w:rsidR="003C20EC">
        <w:t>O</w:t>
      </w:r>
      <w:r>
        <w:t>ne of this guidance,</w:t>
      </w:r>
      <w:r w:rsidR="00FC079A">
        <w:t xml:space="preserve"> it is </w:t>
      </w:r>
      <w:r>
        <w:t>often clear that a serious i</w:t>
      </w:r>
      <w:r w:rsidR="00FC079A">
        <w:t>ncident has occurred</w:t>
      </w:r>
      <w:r>
        <w:t xml:space="preserve"> but w</w:t>
      </w:r>
      <w:r w:rsidR="00FC079A">
        <w:t>here this is not the case providers should engage in open and honest discussion</w:t>
      </w:r>
      <w:r w:rsidR="00E140DE">
        <w:t>s</w:t>
      </w:r>
      <w:r w:rsidR="00FC079A">
        <w:t xml:space="preserve"> with</w:t>
      </w:r>
      <w:r w:rsidR="00E140DE">
        <w:t xml:space="preserve"> their</w:t>
      </w:r>
      <w:r w:rsidR="00FC079A">
        <w:t xml:space="preserve"> commissioners (and others as required) to </w:t>
      </w:r>
      <w:r w:rsidR="00E140DE">
        <w:t>agree</w:t>
      </w:r>
      <w:r w:rsidR="00FC079A">
        <w:t xml:space="preserve"> the appropriate and proportionate response. Where it is not known whether or not </w:t>
      </w:r>
      <w:r w:rsidR="00302595">
        <w:t xml:space="preserve">an incident is a </w:t>
      </w:r>
      <w:r w:rsidR="00302595">
        <w:lastRenderedPageBreak/>
        <w:t>serious incident, i</w:t>
      </w:r>
      <w:r w:rsidR="00FC079A">
        <w:t>t is better to err on the side of caution and treat the incident as a serious incident until evidence is available to demonstrate otherwise. S</w:t>
      </w:r>
      <w:r w:rsidR="000748B2" w:rsidRPr="000748B2">
        <w:t>erious incident report</w:t>
      </w:r>
      <w:r w:rsidR="00FC079A">
        <w:t>s</w:t>
      </w:r>
      <w:r w:rsidR="000748B2" w:rsidRPr="000748B2">
        <w:t xml:space="preserve"> </w:t>
      </w:r>
      <w:r w:rsidR="00FB5E93">
        <w:t>can</w:t>
      </w:r>
      <w:r w:rsidR="000748B2" w:rsidRPr="000748B2">
        <w:t xml:space="preserve"> be downgraded and relevant records amended</w:t>
      </w:r>
      <w:r w:rsidR="00FC079A">
        <w:t xml:space="preserve"> </w:t>
      </w:r>
      <w:r w:rsidR="00FB5E93">
        <w:t>at an</w:t>
      </w:r>
      <w:r w:rsidR="008163EB">
        <w:t>y stage in the investigation</w:t>
      </w:r>
      <w:r w:rsidR="008163EB">
        <w:rPr>
          <w:rStyle w:val="FootnoteReference"/>
        </w:rPr>
        <w:footnoteReference w:id="37"/>
      </w:r>
      <w:r w:rsidR="00FB5E93">
        <w:t xml:space="preserve">. </w:t>
      </w:r>
      <w:r w:rsidR="00302595">
        <w:t xml:space="preserve">Any downgrading </w:t>
      </w:r>
      <w:r w:rsidR="00FB5E93">
        <w:t>must be agreed with the</w:t>
      </w:r>
      <w:r w:rsidR="0003509F">
        <w:t xml:space="preserve"> relevant</w:t>
      </w:r>
      <w:r w:rsidR="00FB5E93">
        <w:t xml:space="preserve"> commissioner on a case by case basis. </w:t>
      </w:r>
      <w:r w:rsidR="000748B2" w:rsidRPr="000748B2">
        <w:t xml:space="preserve">Incidents that are found to not meet the threshold of a serious incident </w:t>
      </w:r>
      <w:r w:rsidR="000120C9">
        <w:t>m</w:t>
      </w:r>
      <w:r w:rsidR="00FB5E93">
        <w:t>u</w:t>
      </w:r>
      <w:r w:rsidR="000120C9">
        <w:t>s</w:t>
      </w:r>
      <w:r w:rsidR="00FB5E93">
        <w:t>t</w:t>
      </w:r>
      <w:r w:rsidR="000748B2" w:rsidRPr="000748B2">
        <w:t xml:space="preserve"> be managed in line with the organisation’s risk management and patient safety policies</w:t>
      </w:r>
      <w:r w:rsidR="00302595">
        <w:t xml:space="preserve"> if appropriate.</w:t>
      </w:r>
    </w:p>
    <w:p w:rsidR="00D04F41" w:rsidRPr="00D04F41" w:rsidRDefault="00D04F41" w:rsidP="00D04F41"/>
    <w:p w:rsidR="003A0E06" w:rsidRDefault="003A0E06" w:rsidP="002F11B3">
      <w:pPr>
        <w:pStyle w:val="Heading1"/>
        <w:numPr>
          <w:ilvl w:val="0"/>
          <w:numId w:val="8"/>
        </w:numPr>
      </w:pPr>
      <w:bookmarkStart w:id="44" w:name="_Toc414568056"/>
      <w:r>
        <w:t>Reporting a Serious Incident</w:t>
      </w:r>
      <w:bookmarkEnd w:id="44"/>
    </w:p>
    <w:p w:rsidR="000748B2" w:rsidRDefault="000748B2" w:rsidP="000748B2"/>
    <w:p w:rsidR="000748B2" w:rsidRDefault="000748B2" w:rsidP="000748B2">
      <w:r>
        <w:t xml:space="preserve">Serious incidents must be reported by the provider to the commissioner without delay and no later than </w:t>
      </w:r>
      <w:r w:rsidR="003C2EDC">
        <w:t>2 working days</w:t>
      </w:r>
      <w:r>
        <w:t xml:space="preserve"> after the incident is identified. Incidents falling into any of the serious incident categories listed below </w:t>
      </w:r>
      <w:r w:rsidR="00FB5E93">
        <w:t>should</w:t>
      </w:r>
      <w:r>
        <w:t xml:space="preserve"> be reported</w:t>
      </w:r>
      <w:r w:rsidR="00FB5E93">
        <w:t xml:space="preserve"> immediately</w:t>
      </w:r>
      <w:r>
        <w:t xml:space="preserve"> to the relevant</w:t>
      </w:r>
      <w:r w:rsidR="008163EB">
        <w:t xml:space="preserve"> </w:t>
      </w:r>
      <w:r>
        <w:t>commissioning organisation upon identification</w:t>
      </w:r>
      <w:r w:rsidR="00FB5E93">
        <w:t>. This should be done</w:t>
      </w:r>
      <w:r>
        <w:t xml:space="preserve"> by telephone as well as electronically:</w:t>
      </w:r>
    </w:p>
    <w:p w:rsidR="000748B2" w:rsidRDefault="000748B2" w:rsidP="000748B2"/>
    <w:p w:rsidR="000748B2" w:rsidRDefault="000748B2" w:rsidP="000748B2">
      <w:r>
        <w:t>•</w:t>
      </w:r>
      <w:r>
        <w:tab/>
        <w:t>Incidents which activate the NHS Trust or Commissioner Major Incident Plan:</w:t>
      </w:r>
    </w:p>
    <w:p w:rsidR="000748B2" w:rsidRDefault="000748B2" w:rsidP="000748B2">
      <w:r>
        <w:t>•</w:t>
      </w:r>
      <w:r>
        <w:tab/>
        <w:t>Incidents which will be of significant public concern:</w:t>
      </w:r>
    </w:p>
    <w:p w:rsidR="000748B2" w:rsidRDefault="000748B2" w:rsidP="00FC079A">
      <w:pPr>
        <w:ind w:left="720" w:hanging="720"/>
      </w:pPr>
      <w:r>
        <w:t>•</w:t>
      </w:r>
      <w:r>
        <w:tab/>
        <w:t>Incidents which will give rise to significa</w:t>
      </w:r>
      <w:r w:rsidR="00E140DE">
        <w:t xml:space="preserve">nt media interest or will be of </w:t>
      </w:r>
      <w:r>
        <w:t>significance to other agencies such as the police or other external agencies:</w:t>
      </w:r>
    </w:p>
    <w:p w:rsidR="000748B2" w:rsidRDefault="000748B2" w:rsidP="000748B2"/>
    <w:p w:rsidR="000748B2" w:rsidRDefault="000748B2" w:rsidP="000748B2">
      <w:r>
        <w:t>Out-of-hours, the local on</w:t>
      </w:r>
      <w:r w:rsidR="003C20EC">
        <w:t>-</w:t>
      </w:r>
      <w:r>
        <w:t>call management procedures must be followed.</w:t>
      </w:r>
    </w:p>
    <w:p w:rsidR="000748B2" w:rsidRDefault="000748B2" w:rsidP="000748B2"/>
    <w:p w:rsidR="00FC079A" w:rsidRDefault="00FC079A" w:rsidP="00FC079A">
      <w:r w:rsidRPr="00FC079A">
        <w:t>Reporting a serious incident must be done by recording the incident on the NHS serious incident management system</w:t>
      </w:r>
      <w:r w:rsidR="00E140DE">
        <w:t>,</w:t>
      </w:r>
      <w:r w:rsidRPr="00FC079A">
        <w:t xml:space="preserve"> STEIS</w:t>
      </w:r>
      <w:r w:rsidR="00035DEA">
        <w:t>,</w:t>
      </w:r>
      <w:r w:rsidRPr="00FC079A">
        <w:rPr>
          <w:vertAlign w:val="superscript"/>
        </w:rPr>
        <w:footnoteReference w:id="38"/>
      </w:r>
      <w:r w:rsidRPr="00FC079A">
        <w:t xml:space="preserve">or its successor system. The serious incident report must not contain any patient or staff </w:t>
      </w:r>
      <w:r w:rsidR="00DB6650">
        <w:t xml:space="preserve">names </w:t>
      </w:r>
      <w:r w:rsidR="00302595">
        <w:t>a</w:t>
      </w:r>
      <w:r w:rsidRPr="00FC079A">
        <w:t>nd the description should be</w:t>
      </w:r>
      <w:r>
        <w:t xml:space="preserve"> clear and</w:t>
      </w:r>
      <w:r w:rsidRPr="00FC079A">
        <w:t xml:space="preserve"> concise. </w:t>
      </w:r>
    </w:p>
    <w:p w:rsidR="00FC079A" w:rsidRDefault="00FC079A" w:rsidP="00FC079A"/>
    <w:p w:rsidR="00FC079A" w:rsidRPr="00FC079A" w:rsidRDefault="00FC079A" w:rsidP="00FC079A">
      <w:r w:rsidRPr="00FC079A">
        <w:t>Other regulatory, statutory, advisory and professional bodies should be informed about serious incidents depending on the nature and circumstances of the incident. Serious incident reports must clearly state that relevant bodies have been informed.  See Appendix</w:t>
      </w:r>
      <w:r w:rsidR="000120C9">
        <w:t xml:space="preserve"> 2</w:t>
      </w:r>
      <w:r w:rsidR="008163EB">
        <w:t xml:space="preserve"> for a list of other organisation</w:t>
      </w:r>
      <w:r w:rsidR="00302595">
        <w:t>s</w:t>
      </w:r>
      <w:r w:rsidR="008163EB">
        <w:t xml:space="preserve"> that must be considered</w:t>
      </w:r>
      <w:r w:rsidR="000120C9">
        <w:t>.</w:t>
      </w:r>
      <w:r w:rsidR="006F535D">
        <w:t xml:space="preserve"> </w:t>
      </w:r>
      <w:r w:rsidR="00655C58">
        <w:t>In some circumstances, where a serious incident or multiple serious incidents raise profound concerns about the quality of care being provided, organisations</w:t>
      </w:r>
      <w:r w:rsidR="006F535D">
        <w:t xml:space="preserve"> should consider calling a Risk Summit, which provides a </w:t>
      </w:r>
      <w:r w:rsidR="006F535D" w:rsidRPr="00ED08E2">
        <w:t>mechanism for key stakeholders</w:t>
      </w:r>
      <w:r w:rsidR="006F535D">
        <w:t xml:space="preserve"> in the health economy</w:t>
      </w:r>
      <w:r w:rsidR="006F535D" w:rsidRPr="00ED08E2">
        <w:t xml:space="preserve"> to come together to collectively share and review information</w:t>
      </w:r>
      <w:r w:rsidR="00035DEA">
        <w:t>.</w:t>
      </w:r>
      <w:r w:rsidR="006F535D">
        <w:rPr>
          <w:rStyle w:val="FootnoteReference"/>
        </w:rPr>
        <w:footnoteReference w:id="39"/>
      </w:r>
      <w:r w:rsidR="00655C58">
        <w:t>Most serious incidents will not warrant this level of response however.</w:t>
      </w:r>
      <w:r w:rsidR="006F535D">
        <w:t xml:space="preserve">  </w:t>
      </w:r>
    </w:p>
    <w:p w:rsidR="00FC079A" w:rsidRDefault="00FC079A" w:rsidP="000748B2"/>
    <w:p w:rsidR="00FC079A" w:rsidRDefault="00FC079A" w:rsidP="000748B2">
      <w:r>
        <w:t xml:space="preserve">All serious incidents which meet the definition for a patient safety incident </w:t>
      </w:r>
      <w:r w:rsidR="00FB5E93">
        <w:t>should also</w:t>
      </w:r>
      <w:r>
        <w:t xml:space="preserve"> be reported separately to the NRLS for national learning</w:t>
      </w:r>
      <w:r w:rsidR="008163EB">
        <w:t xml:space="preserve">. Organisations with local risk </w:t>
      </w:r>
      <w:r w:rsidR="008163EB">
        <w:lastRenderedPageBreak/>
        <w:t>management systems that link to the NRLS can report via their own systems. Organisations without this facility should report using the relevant NRLS e-form</w:t>
      </w:r>
      <w:r w:rsidR="008163EB">
        <w:rPr>
          <w:rStyle w:val="FootnoteReference"/>
        </w:rPr>
        <w:footnoteReference w:id="40"/>
      </w:r>
    </w:p>
    <w:p w:rsidR="000748B2" w:rsidRPr="000748B2" w:rsidRDefault="000748B2" w:rsidP="000748B2"/>
    <w:p w:rsidR="003A0E06" w:rsidRDefault="003A0E06" w:rsidP="002F11B3">
      <w:pPr>
        <w:pStyle w:val="Heading2"/>
        <w:numPr>
          <w:ilvl w:val="1"/>
          <w:numId w:val="8"/>
        </w:numPr>
      </w:pPr>
      <w:bookmarkStart w:id="45" w:name="_Toc414568057"/>
      <w:r>
        <w:t>Follow up information</w:t>
      </w:r>
      <w:bookmarkEnd w:id="45"/>
    </w:p>
    <w:p w:rsidR="004137D3" w:rsidRDefault="004137D3" w:rsidP="004137D3">
      <w:r>
        <w:t>An initial review (</w:t>
      </w:r>
      <w:r w:rsidR="008163EB">
        <w:t>characteristically</w:t>
      </w:r>
      <w:r>
        <w:t xml:space="preserve"> </w:t>
      </w:r>
      <w:r w:rsidR="008163EB">
        <w:t xml:space="preserve">termed </w:t>
      </w:r>
      <w:r>
        <w:t xml:space="preserve">a </w:t>
      </w:r>
      <w:r w:rsidR="008163EB">
        <w:t>‘</w:t>
      </w:r>
      <w:r>
        <w:t>72 hour review</w:t>
      </w:r>
      <w:r w:rsidR="008163EB">
        <w:t>’</w:t>
      </w:r>
      <w:r>
        <w:t>) should be undertaken and uploaded onto the</w:t>
      </w:r>
      <w:r w:rsidR="008163EB">
        <w:t xml:space="preserve"> STEIS</w:t>
      </w:r>
      <w:r>
        <w:t xml:space="preserve"> system</w:t>
      </w:r>
      <w:r w:rsidR="00962CB4">
        <w:t xml:space="preserve"> by the provider</w:t>
      </w:r>
      <w:r>
        <w:t xml:space="preserve"> (offline</w:t>
      </w:r>
      <w:r w:rsidR="00962CB4">
        <w:t xml:space="preserve"> submission may be required</w:t>
      </w:r>
      <w:r>
        <w:t xml:space="preserve"> where online submission is not possible</w:t>
      </w:r>
      <w:r w:rsidR="00962CB4">
        <w:t xml:space="preserve">, see </w:t>
      </w:r>
      <w:r w:rsidR="00035DEA">
        <w:t>A</w:t>
      </w:r>
      <w:r w:rsidR="00962CB4">
        <w:t>ppendix 6</w:t>
      </w:r>
      <w:r>
        <w:t xml:space="preserve">). </w:t>
      </w:r>
      <w:r w:rsidR="00363FF3">
        <w:t xml:space="preserve">This </w:t>
      </w:r>
      <w:r w:rsidR="005142BA">
        <w:t>should be completed</w:t>
      </w:r>
      <w:r>
        <w:t xml:space="preserve"> </w:t>
      </w:r>
      <w:r w:rsidRPr="00F740FD">
        <w:t xml:space="preserve">within </w:t>
      </w:r>
      <w:r w:rsidR="008163EB" w:rsidRPr="00F740FD">
        <w:t>3 working days</w:t>
      </w:r>
      <w:r w:rsidRPr="00F740FD">
        <w:t xml:space="preserve"> of</w:t>
      </w:r>
      <w:r>
        <w:t xml:space="preserve"> the incident being</w:t>
      </w:r>
      <w:r w:rsidR="00FB5E93">
        <w:t xml:space="preserve"> identified</w:t>
      </w:r>
      <w:r>
        <w:t>. The aim of the</w:t>
      </w:r>
      <w:r w:rsidR="005142BA">
        <w:t xml:space="preserve"> initial</w:t>
      </w:r>
      <w:r>
        <w:t xml:space="preserve"> review is to</w:t>
      </w:r>
      <w:r w:rsidR="00035DEA">
        <w:t>:</w:t>
      </w:r>
    </w:p>
    <w:p w:rsidR="005142BA" w:rsidRDefault="005142BA" w:rsidP="004137D3"/>
    <w:p w:rsidR="004137D3" w:rsidRDefault="00035DEA" w:rsidP="0072371B">
      <w:pPr>
        <w:pStyle w:val="ListParagraph"/>
        <w:numPr>
          <w:ilvl w:val="0"/>
          <w:numId w:val="18"/>
        </w:numPr>
      </w:pPr>
      <w:r>
        <w:t>I</w:t>
      </w:r>
      <w:r w:rsidR="004137D3">
        <w:t>dentify and provide assurance that any necessary immediate action to ensure the safety of staff, patients and the public is in place;</w:t>
      </w:r>
    </w:p>
    <w:p w:rsidR="004137D3" w:rsidRDefault="00035DEA" w:rsidP="0072371B">
      <w:pPr>
        <w:pStyle w:val="ListParagraph"/>
        <w:numPr>
          <w:ilvl w:val="0"/>
          <w:numId w:val="18"/>
        </w:numPr>
      </w:pPr>
      <w:r>
        <w:t>A</w:t>
      </w:r>
      <w:r w:rsidR="004137D3">
        <w:t xml:space="preserve">ssess the incident in more detail </w:t>
      </w:r>
      <w:r w:rsidR="00FB5E93">
        <w:t xml:space="preserve">(and </w:t>
      </w:r>
      <w:r w:rsidR="004137D3">
        <w:t xml:space="preserve">to </w:t>
      </w:r>
      <w:r w:rsidR="00FB5E93">
        <w:t>confirm if the incident</w:t>
      </w:r>
      <w:r w:rsidR="004137D3">
        <w:t xml:space="preserve"> does</w:t>
      </w:r>
      <w:r w:rsidR="00FB5E93">
        <w:t xml:space="preserve"> still </w:t>
      </w:r>
      <w:r w:rsidR="004137D3">
        <w:t>meet the criteria for a serious incident</w:t>
      </w:r>
      <w:r>
        <w:t xml:space="preserve"> and does</w:t>
      </w:r>
      <w:r w:rsidR="00E140DE">
        <w:t xml:space="preserve"> therefore require a full investigation</w:t>
      </w:r>
      <w:r w:rsidR="009A6CB5">
        <w:t>)</w:t>
      </w:r>
      <w:r w:rsidR="004137D3">
        <w:t>; and</w:t>
      </w:r>
    </w:p>
    <w:p w:rsidR="004137D3" w:rsidRDefault="00035DEA" w:rsidP="0072371B">
      <w:pPr>
        <w:pStyle w:val="ListParagraph"/>
        <w:numPr>
          <w:ilvl w:val="0"/>
          <w:numId w:val="18"/>
        </w:numPr>
      </w:pPr>
      <w:r>
        <w:t>P</w:t>
      </w:r>
      <w:r w:rsidR="004137D3">
        <w:t>ropose the appropriate level of investigation.</w:t>
      </w:r>
    </w:p>
    <w:p w:rsidR="005142BA" w:rsidRDefault="005142BA" w:rsidP="004137D3"/>
    <w:p w:rsidR="004137D3" w:rsidRDefault="004137D3" w:rsidP="00335DAC">
      <w:r>
        <w:t>The information submitted as part of the</w:t>
      </w:r>
      <w:r w:rsidR="00363FF3">
        <w:t xml:space="preserve"> initial </w:t>
      </w:r>
      <w:r>
        <w:t>review should be reviewed by the appropriate stakeholders and the investigation team</w:t>
      </w:r>
      <w:r w:rsidR="00E140DE">
        <w:t xml:space="preserve"> (once in operation)</w:t>
      </w:r>
      <w:r>
        <w:t xml:space="preserve"> in order to info</w:t>
      </w:r>
      <w:r w:rsidR="00D00063">
        <w:t xml:space="preserve">rm the subsequent investigation. </w:t>
      </w:r>
    </w:p>
    <w:p w:rsidR="00D00063" w:rsidRPr="004137D3" w:rsidRDefault="00D00063" w:rsidP="004137D3"/>
    <w:p w:rsidR="003A0E06" w:rsidRDefault="005F6C60" w:rsidP="002F11B3">
      <w:pPr>
        <w:pStyle w:val="Heading2"/>
        <w:numPr>
          <w:ilvl w:val="1"/>
          <w:numId w:val="8"/>
        </w:numPr>
      </w:pPr>
      <w:bookmarkStart w:id="46" w:name="_Toc414568058"/>
      <w:r>
        <w:t>Alerting the system: e</w:t>
      </w:r>
      <w:r w:rsidR="003A0E06">
        <w:t>scalation and information sharing</w:t>
      </w:r>
      <w:bookmarkEnd w:id="46"/>
    </w:p>
    <w:p w:rsidR="00734FDB" w:rsidRDefault="00363FF3" w:rsidP="00363FF3">
      <w:r>
        <w:t xml:space="preserve">Where a serious incident </w:t>
      </w:r>
      <w:r w:rsidR="002723F0">
        <w:t xml:space="preserve">indicates an issue/problem that has (or may have) significant implications for the wider healthcare system, or where an incident </w:t>
      </w:r>
      <w:r>
        <w:t xml:space="preserve">may cause widespread </w:t>
      </w:r>
      <w:r w:rsidR="002723F0">
        <w:t xml:space="preserve">public </w:t>
      </w:r>
      <w:r>
        <w:t>concern, the relevant commissioner</w:t>
      </w:r>
      <w:r w:rsidR="00734FDB">
        <w:t xml:space="preserve"> (i.e. lead commissioner</w:t>
      </w:r>
      <w:r w:rsidR="002723F0">
        <w:t xml:space="preserve"> receiving the initial notification</w:t>
      </w:r>
      <w:r w:rsidR="00734FDB">
        <w:t>)</w:t>
      </w:r>
      <w:r>
        <w:t xml:space="preserve"> </w:t>
      </w:r>
      <w:r w:rsidR="002723F0">
        <w:t xml:space="preserve">must consider </w:t>
      </w:r>
      <w:r>
        <w:t>the need to share information throughout the system</w:t>
      </w:r>
      <w:r w:rsidR="00D04ACB">
        <w:t xml:space="preserve"> i.e. with NHS England Sub-regions and Regions</w:t>
      </w:r>
      <w:r w:rsidR="005B566B">
        <w:t xml:space="preserve"> and other partner agencies as required</w:t>
      </w:r>
      <w:r>
        <w:t xml:space="preserve">. This is a judgement call depending on the nature of the incident, </w:t>
      </w:r>
      <w:r w:rsidRPr="005F6C60">
        <w:t xml:space="preserve">although </w:t>
      </w:r>
      <w:r w:rsidR="00734FDB" w:rsidRPr="005F6C60">
        <w:t>the</w:t>
      </w:r>
      <w:r w:rsidR="005F6C60">
        <w:t xml:space="preserve"> scale of the incident and</w:t>
      </w:r>
      <w:r w:rsidR="00734FDB">
        <w:t xml:space="preserve"> likelihood of</w:t>
      </w:r>
      <w:r>
        <w:t xml:space="preserve"> national media attention</w:t>
      </w:r>
      <w:r w:rsidR="00734FDB">
        <w:t xml:space="preserve"> </w:t>
      </w:r>
      <w:r>
        <w:t xml:space="preserve">will be a significant factor in deciding to share information. </w:t>
      </w:r>
    </w:p>
    <w:p w:rsidR="00734FDB" w:rsidRDefault="00734FDB" w:rsidP="00363FF3"/>
    <w:p w:rsidR="00C236D8" w:rsidRDefault="00734FDB" w:rsidP="00363FF3">
      <w:r>
        <w:t xml:space="preserve">Where the commissioner receiving the </w:t>
      </w:r>
      <w:r w:rsidR="002723F0">
        <w:t>initial</w:t>
      </w:r>
      <w:r>
        <w:t xml:space="preserve"> notification</w:t>
      </w:r>
      <w:r w:rsidR="005F6C60">
        <w:t xml:space="preserve"> recognise</w:t>
      </w:r>
      <w:r w:rsidR="00C236D8">
        <w:t>s</w:t>
      </w:r>
      <w:r w:rsidR="005F6C60">
        <w:t xml:space="preserve"> the need to share information, they</w:t>
      </w:r>
      <w:r>
        <w:t xml:space="preserve"> must </w:t>
      </w:r>
      <w:r w:rsidR="00363FF3">
        <w:t xml:space="preserve">liaise with </w:t>
      </w:r>
      <w:r>
        <w:t xml:space="preserve">and alert </w:t>
      </w:r>
      <w:r w:rsidR="00C236D8">
        <w:t>NHS England (where they are not the commissioner receiving the initial notification)</w:t>
      </w:r>
      <w:r w:rsidR="00363FF3">
        <w:t xml:space="preserve">. </w:t>
      </w:r>
      <w:r w:rsidR="00ED08E2">
        <w:t xml:space="preserve">Commissioners should share information with members of their local Quality Surveillance Group (QSG), which bring together different parts of the system to proactively share intelligence on real or actual quality failures.  A Risk Summit may be required to share information </w:t>
      </w:r>
      <w:r w:rsidR="002E5FD2">
        <w:t xml:space="preserve">if </w:t>
      </w:r>
      <w:r w:rsidR="00655C58">
        <w:t xml:space="preserve">very </w:t>
      </w:r>
      <w:r w:rsidR="002E5FD2" w:rsidRPr="002E5FD2">
        <w:t>serious concern</w:t>
      </w:r>
      <w:r w:rsidR="002E5FD2">
        <w:t>s</w:t>
      </w:r>
      <w:r w:rsidR="002E5FD2" w:rsidRPr="002E5FD2">
        <w:t xml:space="preserve"> about the quality of care being provided </w:t>
      </w:r>
      <w:r w:rsidR="002E5FD2">
        <w:t xml:space="preserve">to </w:t>
      </w:r>
      <w:r w:rsidR="002E5FD2" w:rsidRPr="002E5FD2">
        <w:t>patients</w:t>
      </w:r>
      <w:r w:rsidR="006F535D">
        <w:t xml:space="preserve"> remain</w:t>
      </w:r>
      <w:r w:rsidR="002E5FD2">
        <w:t>.</w:t>
      </w:r>
      <w:r w:rsidR="00F62E88" w:rsidRPr="00F62E88">
        <w:t xml:space="preserve"> When these requirements to share information entail sharing confidential personal information they are subject to the law relating to privacy and confidentiality and the Data Protection Act. </w:t>
      </w:r>
      <w:r w:rsidR="00F62E88">
        <w:t>A</w:t>
      </w:r>
      <w:r w:rsidR="00F62E88" w:rsidRPr="00F62E88">
        <w:t>dvice should be sought</w:t>
      </w:r>
      <w:r w:rsidR="00F62E88">
        <w:t xml:space="preserve"> from the relevant Caldicott Guardian, Information Governance leads and legal team</w:t>
      </w:r>
      <w:r w:rsidR="00035DEA">
        <w:t>,</w:t>
      </w:r>
      <w:r w:rsidR="00F62E88">
        <w:t xml:space="preserve"> as required</w:t>
      </w:r>
      <w:r w:rsidR="00F62E88" w:rsidRPr="00F62E88">
        <w:t>.</w:t>
      </w:r>
    </w:p>
    <w:p w:rsidR="003C06BA" w:rsidRDefault="003C06BA" w:rsidP="00363FF3"/>
    <w:p w:rsidR="00363FF3" w:rsidRDefault="00363FF3" w:rsidP="00363FF3">
      <w:r>
        <w:t>NHS England</w:t>
      </w:r>
      <w:r w:rsidR="00734FDB">
        <w:t xml:space="preserve"> at </w:t>
      </w:r>
      <w:r w:rsidR="000A74CD">
        <w:t>Sub-</w:t>
      </w:r>
      <w:r w:rsidR="00F740FD">
        <w:t xml:space="preserve">region </w:t>
      </w:r>
      <w:r w:rsidR="00E94315">
        <w:t>and then</w:t>
      </w:r>
      <w:r w:rsidR="00F740FD">
        <w:t xml:space="preserve"> R</w:t>
      </w:r>
      <w:r w:rsidR="000A74CD">
        <w:t>egional</w:t>
      </w:r>
      <w:r w:rsidR="00734FDB">
        <w:t xml:space="preserve"> level</w:t>
      </w:r>
      <w:r w:rsidR="00591A95">
        <w:t xml:space="preserve"> </w:t>
      </w:r>
      <w:r w:rsidR="00734FDB">
        <w:t>must</w:t>
      </w:r>
      <w:r>
        <w:t xml:space="preserve"> make an informed decision about whether or not to inform </w:t>
      </w:r>
      <w:r w:rsidR="002D479C">
        <w:t xml:space="preserve">national </w:t>
      </w:r>
      <w:r>
        <w:t>directorate leads within NHS England</w:t>
      </w:r>
      <w:r w:rsidR="003C2EDC">
        <w:t xml:space="preserve"> Central Team</w:t>
      </w:r>
      <w:r>
        <w:t>. Commun</w:t>
      </w:r>
      <w:r w:rsidR="00C236D8">
        <w:t>ication should be managed by an appropriately</w:t>
      </w:r>
      <w:r>
        <w:t xml:space="preserve"> </w:t>
      </w:r>
      <w:r w:rsidR="00C236D8">
        <w:t xml:space="preserve">designated </w:t>
      </w:r>
      <w:r>
        <w:t xml:space="preserve">regional </w:t>
      </w:r>
      <w:r>
        <w:lastRenderedPageBreak/>
        <w:t>lead.</w:t>
      </w:r>
      <w:r w:rsidR="002723F0">
        <w:t xml:space="preserve"> </w:t>
      </w:r>
      <w:r>
        <w:t xml:space="preserve">A briefing which describes the issue and the current position in terms of incident management and </w:t>
      </w:r>
      <w:r w:rsidR="002723F0">
        <w:t xml:space="preserve">investigation (where applicable) </w:t>
      </w:r>
      <w:r>
        <w:t>should be provided</w:t>
      </w:r>
      <w:r w:rsidR="005F6C60">
        <w:t>. T</w:t>
      </w:r>
      <w:r w:rsidR="002723F0">
        <w:t xml:space="preserve">he organisation responsible for preparing this </w:t>
      </w:r>
      <w:r w:rsidR="005F6C60">
        <w:t>information will depend on the incident</w:t>
      </w:r>
      <w:r w:rsidR="002723F0">
        <w:t xml:space="preserve"> and must be agreed on a case by</w:t>
      </w:r>
      <w:r w:rsidR="00035DEA">
        <w:t>-</w:t>
      </w:r>
      <w:r w:rsidR="002723F0">
        <w:t>case</w:t>
      </w:r>
      <w:r w:rsidR="00035DEA">
        <w:t>-</w:t>
      </w:r>
      <w:r w:rsidR="002723F0">
        <w:t>basis</w:t>
      </w:r>
      <w:r>
        <w:t>.</w:t>
      </w:r>
      <w:r w:rsidR="002723F0" w:rsidRPr="002723F0">
        <w:t xml:space="preserve"> </w:t>
      </w:r>
      <w:r w:rsidR="002723F0">
        <w:t>The briefing</w:t>
      </w:r>
      <w:r w:rsidR="002723F0" w:rsidRPr="002723F0">
        <w:t xml:space="preserve"> should be disseminated by the relevant regional lead through the appropriate professional accountability and commissioning routes including Nursing, Medical, Operational and Commissioning Teams. </w:t>
      </w:r>
      <w:r>
        <w:t xml:space="preserve"> A decision to info</w:t>
      </w:r>
      <w:r w:rsidR="00B6624F">
        <w:t>rm the De</w:t>
      </w:r>
      <w:r w:rsidR="00B6624F" w:rsidRPr="002723F0">
        <w:t>partment of Health must be agreed with</w:t>
      </w:r>
      <w:r w:rsidRPr="002723F0">
        <w:t xml:space="preserve"> NHS England d</w:t>
      </w:r>
      <w:r w:rsidR="00B6624F" w:rsidRPr="002723F0">
        <w:t>irectorate leads as appropriate. C</w:t>
      </w:r>
      <w:r w:rsidRPr="002723F0">
        <w:t>ommunication</w:t>
      </w:r>
      <w:r w:rsidR="00B6624F" w:rsidRPr="002723F0">
        <w:t xml:space="preserve"> with </w:t>
      </w:r>
      <w:r w:rsidR="00852FB8">
        <w:t xml:space="preserve">the Department of Health </w:t>
      </w:r>
      <w:r w:rsidR="002D479C">
        <w:t xml:space="preserve">must </w:t>
      </w:r>
      <w:r w:rsidR="00852FB8">
        <w:t>be co</w:t>
      </w:r>
      <w:r w:rsidR="00035DEA">
        <w:t>-</w:t>
      </w:r>
      <w:r w:rsidR="00852FB8">
        <w:t xml:space="preserve">ordinated through NHS England Central Communications. </w:t>
      </w:r>
    </w:p>
    <w:p w:rsidR="00B6624F" w:rsidRDefault="00B6624F" w:rsidP="00363FF3"/>
    <w:p w:rsidR="00CF2322" w:rsidRDefault="00CF2322" w:rsidP="00363FF3">
      <w:r>
        <w:t>NHS England, in</w:t>
      </w:r>
      <w:r w:rsidR="006B059A">
        <w:t xml:space="preserve"> rare and</w:t>
      </w:r>
      <w:r>
        <w:t xml:space="preserve"> exceptional circumstances (for example, where an incident has the potential to cause significant harm throughout the system and/or where investigation of the commissioning system or configuration of services is required)</w:t>
      </w:r>
      <w:r w:rsidR="00B1377B">
        <w:t>,</w:t>
      </w:r>
      <w:r>
        <w:t xml:space="preserve"> </w:t>
      </w:r>
      <w:r w:rsidRPr="00CF2322">
        <w:t>may identify the need</w:t>
      </w:r>
      <w:r>
        <w:t xml:space="preserve"> for a </w:t>
      </w:r>
      <w:r w:rsidR="006B059A">
        <w:t xml:space="preserve">regionally or </w:t>
      </w:r>
      <w:r>
        <w:t>centrally led response</w:t>
      </w:r>
      <w:r w:rsidR="006B059A">
        <w:t>,</w:t>
      </w:r>
      <w:r>
        <w:t xml:space="preserve"> initiated by th</w:t>
      </w:r>
      <w:r w:rsidR="006B059A">
        <w:t>e commissioning of an independent investigation. Where this is the case an appropriate incident management plan (</w:t>
      </w:r>
      <w:r w:rsidR="00A73DA9">
        <w:t>overseen by</w:t>
      </w:r>
      <w:r w:rsidR="006B059A">
        <w:t xml:space="preserve"> appropriate </w:t>
      </w:r>
      <w:r w:rsidR="005F6C60">
        <w:t xml:space="preserve">Officer/ </w:t>
      </w:r>
      <w:r w:rsidR="006B059A">
        <w:t>Responsible Owner</w:t>
      </w:r>
      <w:r w:rsidR="00A73DA9">
        <w:t xml:space="preserve"> at either </w:t>
      </w:r>
      <w:r w:rsidR="00C236D8">
        <w:t>regional or national</w:t>
      </w:r>
      <w:r w:rsidR="00A73DA9">
        <w:t xml:space="preserve"> level</w:t>
      </w:r>
      <w:r w:rsidR="002723F0">
        <w:t>) must</w:t>
      </w:r>
      <w:r w:rsidR="006B059A">
        <w:t xml:space="preserve"> be developed and implemented in line with the principles in this </w:t>
      </w:r>
      <w:r w:rsidR="005A7486">
        <w:t>Framework</w:t>
      </w:r>
      <w:r w:rsidR="006B059A">
        <w:t xml:space="preserve">. </w:t>
      </w:r>
      <w:r w:rsidR="002723F0">
        <w:t xml:space="preserve">Appendix 3 provides further details relating to the commissioning on independent investigations. </w:t>
      </w:r>
    </w:p>
    <w:p w:rsidR="006B059A" w:rsidRPr="00363FF3" w:rsidRDefault="000E1D84" w:rsidP="00363FF3">
      <w:r>
        <w:br w:type="page"/>
      </w:r>
    </w:p>
    <w:p w:rsidR="00B87DD9" w:rsidRDefault="000E1D84" w:rsidP="002F11B3">
      <w:pPr>
        <w:pStyle w:val="Heading1"/>
        <w:numPr>
          <w:ilvl w:val="0"/>
          <w:numId w:val="8"/>
        </w:numPr>
      </w:pPr>
      <w:bookmarkStart w:id="47" w:name="_Toc414568059"/>
      <w:r>
        <w:t>Overview of t</w:t>
      </w:r>
      <w:r w:rsidR="00B87DD9">
        <w:t>he investigation</w:t>
      </w:r>
      <w:r>
        <w:t xml:space="preserve"> process</w:t>
      </w:r>
      <w:bookmarkEnd w:id="47"/>
    </w:p>
    <w:p w:rsidR="000E1D84" w:rsidRPr="000E1D84" w:rsidRDefault="000E1D84" w:rsidP="000E1D84"/>
    <w:p w:rsidR="000E1D84" w:rsidRDefault="000E1D84" w:rsidP="000E1D84">
      <w:r>
        <w:t>This schematic provides a brief overview of a systems investigation for investigating serious incidents in the NHS. It requires a ‘questioning attitude that never accepts the first response’</w:t>
      </w:r>
      <w:r w:rsidR="00035DEA">
        <w:t>,</w:t>
      </w:r>
      <w:r>
        <w:rPr>
          <w:rStyle w:val="EndnoteReference"/>
        </w:rPr>
        <w:endnoteReference w:id="7"/>
      </w:r>
      <w:r>
        <w:t xml:space="preserve"> and uses recognised tools and techniques</w:t>
      </w:r>
      <w:r>
        <w:rPr>
          <w:rStyle w:val="FootnoteReference"/>
        </w:rPr>
        <w:footnoteReference w:id="41"/>
      </w:r>
      <w:r>
        <w:t xml:space="preserve"> to identify:</w:t>
      </w:r>
    </w:p>
    <w:p w:rsidR="000E1D84" w:rsidRPr="009C1A45" w:rsidRDefault="000E1D84" w:rsidP="000E1D84">
      <w:pPr>
        <w:rPr>
          <w:sz w:val="12"/>
          <w:szCs w:val="12"/>
        </w:rPr>
      </w:pPr>
    </w:p>
    <w:p w:rsidR="000E1D84" w:rsidRPr="000E1D84" w:rsidRDefault="000E1D84" w:rsidP="002F11B3">
      <w:pPr>
        <w:numPr>
          <w:ilvl w:val="1"/>
          <w:numId w:val="2"/>
        </w:numPr>
        <w:contextualSpacing/>
        <w:rPr>
          <w:rFonts w:cs="Arial"/>
        </w:rPr>
      </w:pPr>
      <w:r w:rsidRPr="000E1D84">
        <w:rPr>
          <w:rFonts w:cs="Arial"/>
        </w:rPr>
        <w:t>The problems (the what?)</w:t>
      </w:r>
      <w:r>
        <w:rPr>
          <w:rFonts w:cs="Arial"/>
        </w:rPr>
        <w:t xml:space="preserve"> including lapses in care/acts/omissions</w:t>
      </w:r>
      <w:r w:rsidRPr="000E1D84">
        <w:rPr>
          <w:rFonts w:cs="Arial"/>
        </w:rPr>
        <w:t xml:space="preserve">; and </w:t>
      </w:r>
    </w:p>
    <w:p w:rsidR="000E1D84" w:rsidRPr="000E1D84" w:rsidRDefault="000E1D84" w:rsidP="002F11B3">
      <w:pPr>
        <w:numPr>
          <w:ilvl w:val="1"/>
          <w:numId w:val="2"/>
        </w:numPr>
        <w:contextualSpacing/>
        <w:rPr>
          <w:rFonts w:cs="Arial"/>
        </w:rPr>
      </w:pPr>
      <w:r w:rsidRPr="000E1D84">
        <w:rPr>
          <w:rFonts w:cs="Arial"/>
        </w:rPr>
        <w:t xml:space="preserve">The contributory factors that led to the problems (the how?) taking into account the environmental and human factors; and </w:t>
      </w:r>
    </w:p>
    <w:p w:rsidR="000E1D84" w:rsidRPr="000E1D84" w:rsidRDefault="000E1D84" w:rsidP="002F11B3">
      <w:pPr>
        <w:numPr>
          <w:ilvl w:val="1"/>
          <w:numId w:val="2"/>
        </w:numPr>
        <w:contextualSpacing/>
        <w:rPr>
          <w:rFonts w:cs="Arial"/>
        </w:rPr>
      </w:pPr>
      <w:r w:rsidRPr="000E1D84">
        <w:rPr>
          <w:rFonts w:cs="Arial"/>
        </w:rPr>
        <w:t>The fundamental issues/root cause (the why?) that need to be addressed.</w:t>
      </w:r>
    </w:p>
    <w:p w:rsidR="000E1D84" w:rsidRPr="009A19FC" w:rsidRDefault="000E1D84" w:rsidP="000E1D84"/>
    <w:p w:rsidR="000E1D84" w:rsidRDefault="000E1D84" w:rsidP="000E1D84">
      <w:r>
        <w:rPr>
          <w:noProof/>
          <w:lang w:eastAsia="en-GB"/>
        </w:rPr>
        <mc:AlternateContent>
          <mc:Choice Requires="wps">
            <w:drawing>
              <wp:anchor distT="0" distB="0" distL="114300" distR="114300" simplePos="0" relativeHeight="251685376" behindDoc="0" locked="0" layoutInCell="1" allowOverlap="1" wp14:anchorId="2286FE72" wp14:editId="2FDC13D6">
                <wp:simplePos x="0" y="0"/>
                <wp:positionH relativeFrom="column">
                  <wp:posOffset>4444</wp:posOffset>
                </wp:positionH>
                <wp:positionV relativeFrom="paragraph">
                  <wp:posOffset>5786755</wp:posOffset>
                </wp:positionV>
                <wp:extent cx="6181725" cy="514350"/>
                <wp:effectExtent l="76200" t="38100" r="104775" b="114300"/>
                <wp:wrapNone/>
                <wp:docPr id="10" name="Rounded Rectangle 10"/>
                <wp:cNvGraphicFramePr/>
                <a:graphic xmlns:a="http://schemas.openxmlformats.org/drawingml/2006/main">
                  <a:graphicData uri="http://schemas.microsoft.com/office/word/2010/wordprocessingShape">
                    <wps:wsp>
                      <wps:cNvSpPr/>
                      <wps:spPr>
                        <a:xfrm>
                          <a:off x="0" y="0"/>
                          <a:ext cx="6181725" cy="5143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98525C" w:rsidRPr="000E1D84" w:rsidRDefault="0098525C" w:rsidP="000E1D84">
                            <w:pPr>
                              <w:jc w:val="center"/>
                              <w:rPr>
                                <w:sz w:val="20"/>
                                <w:szCs w:val="22"/>
                              </w:rPr>
                            </w:pPr>
                            <w:r w:rsidRPr="000E1D84">
                              <w:rPr>
                                <w:sz w:val="20"/>
                                <w:szCs w:val="22"/>
                              </w:rPr>
                              <w:t>The investigation should be underpinned by a clear terms of reference, robust management plan and communication/media handling strategy (as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79" style="position:absolute;margin-left:.35pt;margin-top:455.65pt;width:486.75pt;height:4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" fillcolor="black [1641]" stroked="f">
                <v:fill color2="black [3017]" rotate="t" angle="180" focus="80%" type="gradient">
                  <o:fill v:ext="view" type="gradientUnscaled"/>
                </v:fill>
                <v:shadow on="t" color="black" opacity="22937f" origin=",.5" offset="0,.63889mm"/>
                <v:textbox>
                  <w:txbxContent>
                    <w:p w:rsidR="0098525C" w:rsidRPr="000E1D84" w:rsidRDefault="0098525C" w:rsidP="000E1D84">
                      <w:pPr>
                        <w:jc w:val="center"/>
                        <w:rPr>
                          <w:sz w:val="20"/>
                          <w:szCs w:val="22"/>
                        </w:rPr>
                      </w:pPr>
                      <w:r w:rsidRPr="000E1D84">
                        <w:rPr>
                          <w:sz w:val="20"/>
                          <w:szCs w:val="22"/>
                        </w:rPr>
                        <w:t>The investigation should be underpinned by a clear terms of reference, robust management plan and communication/media handling strategy (as required)</w:t>
                      </w:r>
                    </w:p>
                  </w:txbxContent>
                </v:textbox>
              </v:roundrect>
            </w:pict>
          </mc:Fallback>
        </mc:AlternateContent>
      </w:r>
      <w:r>
        <w:rPr>
          <w:noProof/>
          <w:lang w:eastAsia="en-GB"/>
        </w:rPr>
        <mc:AlternateContent>
          <mc:Choice Requires="wps">
            <w:drawing>
              <wp:anchor distT="0" distB="0" distL="114300" distR="114300" simplePos="0" relativeHeight="251683328" behindDoc="0" locked="0" layoutInCell="1" allowOverlap="1" wp14:anchorId="28F1C9F7" wp14:editId="5EDDDEAC">
                <wp:simplePos x="0" y="0"/>
                <wp:positionH relativeFrom="column">
                  <wp:posOffset>2473960</wp:posOffset>
                </wp:positionH>
                <wp:positionV relativeFrom="paragraph">
                  <wp:posOffset>2320290</wp:posOffset>
                </wp:positionV>
                <wp:extent cx="5544820" cy="800735"/>
                <wp:effectExtent l="0" t="47308" r="0" b="122872"/>
                <wp:wrapNone/>
                <wp:docPr id="6" name="Right Arrow 6"/>
                <wp:cNvGraphicFramePr/>
                <a:graphic xmlns:a="http://schemas.openxmlformats.org/drawingml/2006/main">
                  <a:graphicData uri="http://schemas.microsoft.com/office/word/2010/wordprocessingShape">
                    <wps:wsp>
                      <wps:cNvSpPr/>
                      <wps:spPr>
                        <a:xfrm rot="5400000">
                          <a:off x="0" y="0"/>
                          <a:ext cx="5544820" cy="800735"/>
                        </a:xfrm>
                        <a:prstGeom prst="rightArrow">
                          <a:avLst>
                            <a:gd name="adj1" fmla="val 50000"/>
                            <a:gd name="adj2" fmla="val 41673"/>
                          </a:avLst>
                        </a:prstGeom>
                      </wps:spPr>
                      <wps:style>
                        <a:lnRef idx="0">
                          <a:schemeClr val="accent4"/>
                        </a:lnRef>
                        <a:fillRef idx="3">
                          <a:schemeClr val="accent4"/>
                        </a:fillRef>
                        <a:effectRef idx="3">
                          <a:schemeClr val="accent4"/>
                        </a:effectRef>
                        <a:fontRef idx="minor">
                          <a:schemeClr val="lt1"/>
                        </a:fontRef>
                      </wps:style>
                      <wps:txbx>
                        <w:txbxContent>
                          <w:p w:rsidR="0098525C" w:rsidRPr="000A5C7F" w:rsidRDefault="0098525C" w:rsidP="000E1D84">
                            <w:pPr>
                              <w:jc w:val="center"/>
                              <w:rPr>
                                <w:sz w:val="20"/>
                                <w:szCs w:val="20"/>
                              </w:rPr>
                            </w:pPr>
                            <w:r w:rsidRPr="000A5C7F">
                              <w:rPr>
                                <w:sz w:val="20"/>
                                <w:szCs w:val="20"/>
                              </w:rPr>
                              <w:t xml:space="preserve">Those involved (including patients, staff, victims perpetrators and their families/carers) must be informed, involved and supported appropriately throughout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80" type="#_x0000_t13" style="position:absolute;margin-left:194.8pt;margin-top:182.7pt;width:436.6pt;height:63.05pt;rotation:9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" adj="20300" fillcolor="#004966 [1639]" stroked="f">
                <v:fill color2="#0087bc [3015]" rotate="t" angle="180" colors="0 #0074ab;52429f #0099e0;1 #009ce6" focus="100%" type="gradient">
                  <o:fill v:ext="view" type="gradientUnscaled"/>
                </v:fill>
                <v:shadow on="t" color="black" opacity="22937f" origin=",.5" offset="0,.63889mm"/>
                <v:textbox>
                  <w:txbxContent>
                    <w:p w:rsidR="0098525C" w:rsidRPr="000A5C7F" w:rsidRDefault="0098525C" w:rsidP="000E1D84">
                      <w:pPr>
                        <w:jc w:val="center"/>
                        <w:rPr>
                          <w:sz w:val="20"/>
                          <w:szCs w:val="20"/>
                        </w:rPr>
                      </w:pPr>
                      <w:r w:rsidRPr="000A5C7F">
                        <w:rPr>
                          <w:sz w:val="20"/>
                          <w:szCs w:val="20"/>
                        </w:rPr>
                        <w:t xml:space="preserve">Those involved (including patients, staff, victims perpetrators and their families/carers) must be informed, involved and supported appropriately throughout </w:t>
                      </w:r>
                    </w:p>
                  </w:txbxContent>
                </v:textbox>
              </v:shape>
            </w:pict>
          </mc:Fallback>
        </mc:AlternateContent>
      </w:r>
      <w:r w:rsidRPr="000A5C7F">
        <w:rPr>
          <w:noProof/>
          <w:lang w:eastAsia="en-GB"/>
        </w:rPr>
        <mc:AlternateContent>
          <mc:Choice Requires="wps">
            <w:drawing>
              <wp:anchor distT="0" distB="0" distL="114300" distR="114300" simplePos="0" relativeHeight="251684352" behindDoc="0" locked="0" layoutInCell="1" allowOverlap="1" wp14:anchorId="00B45371" wp14:editId="20F1B932">
                <wp:simplePos x="0" y="0"/>
                <wp:positionH relativeFrom="column">
                  <wp:posOffset>3195320</wp:posOffset>
                </wp:positionH>
                <wp:positionV relativeFrom="paragraph">
                  <wp:posOffset>2327275</wp:posOffset>
                </wp:positionV>
                <wp:extent cx="5549265" cy="791211"/>
                <wp:effectExtent l="0" t="40322" r="0" b="106363"/>
                <wp:wrapNone/>
                <wp:docPr id="9" name="Right Arrow 9"/>
                <wp:cNvGraphicFramePr/>
                <a:graphic xmlns:a="http://schemas.openxmlformats.org/drawingml/2006/main">
                  <a:graphicData uri="http://schemas.microsoft.com/office/word/2010/wordprocessingShape">
                    <wps:wsp>
                      <wps:cNvSpPr/>
                      <wps:spPr>
                        <a:xfrm rot="5400000">
                          <a:off x="0" y="0"/>
                          <a:ext cx="5549265" cy="791211"/>
                        </a:xfrm>
                        <a:prstGeom prst="rightArrow">
                          <a:avLst>
                            <a:gd name="adj1" fmla="val 50000"/>
                            <a:gd name="adj2" fmla="val 42776"/>
                          </a:avLst>
                        </a:prstGeom>
                        <a:ln/>
                      </wps:spPr>
                      <wps:style>
                        <a:lnRef idx="0">
                          <a:schemeClr val="accent2"/>
                        </a:lnRef>
                        <a:fillRef idx="3">
                          <a:schemeClr val="accent2"/>
                        </a:fillRef>
                        <a:effectRef idx="3">
                          <a:schemeClr val="accent2"/>
                        </a:effectRef>
                        <a:fontRef idx="minor">
                          <a:schemeClr val="lt1"/>
                        </a:fontRef>
                      </wps:style>
                      <wps:txbx>
                        <w:txbxContent>
                          <w:p w:rsidR="0098525C" w:rsidRPr="000A5C7F" w:rsidRDefault="0098525C" w:rsidP="000E1D84">
                            <w:pPr>
                              <w:jc w:val="center"/>
                              <w:rPr>
                                <w:sz w:val="20"/>
                                <w:szCs w:val="20"/>
                              </w:rPr>
                            </w:pPr>
                            <w:r>
                              <w:rPr>
                                <w:sz w:val="20"/>
                                <w:szCs w:val="20"/>
                              </w:rPr>
                              <w:t xml:space="preserve">Opportunities for sharing safety critical information and learning must be shared </w:t>
                            </w:r>
                            <w:r w:rsidRPr="000A5C7F">
                              <w:rPr>
                                <w:sz w:val="20"/>
                                <w:szCs w:val="20"/>
                              </w:rPr>
                              <w:t xml:space="preserve">throughout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9" o:spid="_x0000_s1081" type="#_x0000_t13" style="position:absolute;margin-left:251.6pt;margin-top:183.25pt;width:436.95pt;height:62.3pt;rotation:9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" adj="20283" fillcolor="#51002a [1637]" stroked="f">
                <v:fill color2="#95004e [3013]" rotate="t" angle="180" colors="0 #87003c;52429f #b20052;1 #b70053" focus="100%" type="gradient">
                  <o:fill v:ext="view" type="gradientUnscaled"/>
                </v:fill>
                <v:shadow on="t" color="black" opacity="22937f" origin=",.5" offset="0,.63889mm"/>
                <v:textbox>
                  <w:txbxContent>
                    <w:p w:rsidR="0098525C" w:rsidRPr="000A5C7F" w:rsidRDefault="0098525C" w:rsidP="000E1D84">
                      <w:pPr>
                        <w:jc w:val="center"/>
                        <w:rPr>
                          <w:sz w:val="20"/>
                          <w:szCs w:val="20"/>
                        </w:rPr>
                      </w:pPr>
                      <w:r>
                        <w:rPr>
                          <w:sz w:val="20"/>
                          <w:szCs w:val="20"/>
                        </w:rPr>
                        <w:t xml:space="preserve">Opportunities for sharing safety critical information and learning must be shared </w:t>
                      </w:r>
                      <w:r w:rsidRPr="000A5C7F">
                        <w:rPr>
                          <w:sz w:val="20"/>
                          <w:szCs w:val="20"/>
                        </w:rPr>
                        <w:t xml:space="preserve">throughout </w:t>
                      </w:r>
                    </w:p>
                  </w:txbxContent>
                </v:textbox>
              </v:shape>
            </w:pict>
          </mc:Fallback>
        </mc:AlternateContent>
      </w:r>
      <w:r>
        <w:rPr>
          <w:noProof/>
          <w:lang w:eastAsia="en-GB"/>
        </w:rPr>
        <w:drawing>
          <wp:inline distT="0" distB="0" distL="0" distR="0" wp14:anchorId="745A6DE8" wp14:editId="4C375235">
            <wp:extent cx="4781550" cy="5819775"/>
            <wp:effectExtent l="57150" t="57150" r="114300"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t xml:space="preserve"> </w:t>
      </w:r>
    </w:p>
    <w:p w:rsidR="000E1D84" w:rsidRPr="000E1D84" w:rsidRDefault="000E1D84" w:rsidP="000E1D84"/>
    <w:p w:rsidR="000E1D84" w:rsidRPr="000E1D84" w:rsidRDefault="000E1D84" w:rsidP="000E1D84"/>
    <w:p w:rsidR="00B87DD9" w:rsidRPr="00B87DD9" w:rsidRDefault="000E1D84" w:rsidP="000E1D84">
      <w:r w:rsidRPr="000E1D84">
        <w:br w:type="page"/>
      </w:r>
    </w:p>
    <w:p w:rsidR="00B87DD9" w:rsidRDefault="00B87DD9" w:rsidP="002F11B3">
      <w:pPr>
        <w:pStyle w:val="Heading2"/>
        <w:numPr>
          <w:ilvl w:val="1"/>
          <w:numId w:val="8"/>
        </w:numPr>
      </w:pPr>
      <w:bookmarkStart w:id="48" w:name="_Toc414568060"/>
      <w:r>
        <w:t>Setting up the team</w:t>
      </w:r>
      <w:bookmarkEnd w:id="48"/>
    </w:p>
    <w:p w:rsidR="00B12178" w:rsidRDefault="00B12178" w:rsidP="00B12178">
      <w:r>
        <w:t xml:space="preserve">The provider declaring the incident (unless otherwise agreed) must ensure that an appropriate serious incident investigation team is established.  It is the responsibility of all team members to keep their own organisation fully briefed about the incident and actions being taken. The investigation team </w:t>
      </w:r>
      <w:r w:rsidR="00035DEA">
        <w:t>is</w:t>
      </w:r>
      <w:r>
        <w:t xml:space="preserve"> also responsible </w:t>
      </w:r>
      <w:r w:rsidR="009A6CB5">
        <w:t>for identifying valuable/ safety</w:t>
      </w:r>
      <w:r w:rsidR="00035DEA">
        <w:t>-</w:t>
      </w:r>
      <w:r w:rsidR="009A6CB5">
        <w:t>critical learning</w:t>
      </w:r>
      <w:r>
        <w:t xml:space="preserve"> to be shared at any stage of the investigation process. The team should not wait until completion of the investigation to </w:t>
      </w:r>
      <w:r w:rsidR="009E592A">
        <w:t>highlight system weaknesses/</w:t>
      </w:r>
      <w:r w:rsidR="009A6CB5">
        <w:t xml:space="preserve"> </w:t>
      </w:r>
      <w:r>
        <w:t>share valuable learning which may prevent future harm.</w:t>
      </w:r>
    </w:p>
    <w:p w:rsidR="00B12178" w:rsidRDefault="00B12178" w:rsidP="00B12178"/>
    <w:p w:rsidR="00B12178" w:rsidRDefault="00B12178" w:rsidP="00B12178">
      <w:r>
        <w:t>The investigation team s</w:t>
      </w:r>
      <w:r w:rsidR="00BE11F2">
        <w:t xml:space="preserve">hould have a Lead Investigator </w:t>
      </w:r>
      <w:r>
        <w:t>with accountability to the appropriate Manager/ Director/ Chief Executive. It is essential to identify team members wit</w:t>
      </w:r>
      <w:r w:rsidR="00035DEA">
        <w:t>h:</w:t>
      </w:r>
    </w:p>
    <w:p w:rsidR="00B12178" w:rsidRDefault="00B12178" w:rsidP="00B12178"/>
    <w:p w:rsidR="00B12178" w:rsidRDefault="00035DEA" w:rsidP="0072371B">
      <w:pPr>
        <w:numPr>
          <w:ilvl w:val="0"/>
          <w:numId w:val="14"/>
        </w:numPr>
      </w:pPr>
      <w:r>
        <w:t>K</w:t>
      </w:r>
      <w:r w:rsidR="00B12178" w:rsidRPr="00B12178">
        <w:t>nowledge of what constitutes an eff</w:t>
      </w:r>
      <w:r w:rsidR="00B12178">
        <w:t>ective</w:t>
      </w:r>
      <w:r w:rsidR="00576048">
        <w:t xml:space="preserve"> systems</w:t>
      </w:r>
      <w:r w:rsidR="00B12178">
        <w:t xml:space="preserve"> investigation process,</w:t>
      </w:r>
      <w:r>
        <w:t xml:space="preserve"> and</w:t>
      </w:r>
      <w:r w:rsidR="00B12178">
        <w:t xml:space="preserve"> </w:t>
      </w:r>
      <w:r w:rsidR="00B12178" w:rsidRPr="00B12178">
        <w:t xml:space="preserve"> the skills</w:t>
      </w:r>
      <w:r w:rsidR="00576048">
        <w:t>/ competencies</w:t>
      </w:r>
      <w:r w:rsidR="00B12178" w:rsidRPr="00B12178">
        <w:t xml:space="preserve"> to lead and deliver this</w:t>
      </w:r>
      <w:r w:rsidR="00576048">
        <w:t>;</w:t>
      </w:r>
    </w:p>
    <w:p w:rsidR="00B12178" w:rsidRPr="00B12178" w:rsidRDefault="00035DEA" w:rsidP="0072371B">
      <w:pPr>
        <w:numPr>
          <w:ilvl w:val="0"/>
          <w:numId w:val="14"/>
        </w:numPr>
      </w:pPr>
      <w:r>
        <w:t>S</w:t>
      </w:r>
      <w:r w:rsidR="00576048">
        <w:t xml:space="preserve">kills/ </w:t>
      </w:r>
      <w:r w:rsidR="00B12178" w:rsidRPr="00B12178">
        <w:t>competencies in effective report writing and document formulation;</w:t>
      </w:r>
    </w:p>
    <w:p w:rsidR="00B12178" w:rsidRPr="00B12178" w:rsidRDefault="00035DEA" w:rsidP="0072371B">
      <w:pPr>
        <w:numPr>
          <w:ilvl w:val="0"/>
          <w:numId w:val="14"/>
        </w:numPr>
      </w:pPr>
      <w:r>
        <w:t>E</w:t>
      </w:r>
      <w:r w:rsidR="00B12178" w:rsidRPr="00B12178">
        <w:t>xpertise in facilitating patient/family involvement</w:t>
      </w:r>
    </w:p>
    <w:p w:rsidR="00B12178" w:rsidRPr="00B12178" w:rsidRDefault="00035DEA" w:rsidP="0072371B">
      <w:pPr>
        <w:numPr>
          <w:ilvl w:val="0"/>
          <w:numId w:val="14"/>
        </w:numPr>
      </w:pPr>
      <w:r>
        <w:t>U</w:t>
      </w:r>
      <w:r w:rsidR="00B12178" w:rsidRPr="00B12178">
        <w:t>nderstanding of the specialty involved – this often requires representation from more than one professional group to ensure inves</w:t>
      </w:r>
      <w:r w:rsidR="00576048">
        <w:t>tigation balance and credible</w:t>
      </w:r>
      <w:r w:rsidR="00B12178" w:rsidRPr="00B12178">
        <w:t>;</w:t>
      </w:r>
    </w:p>
    <w:p w:rsidR="00B12178" w:rsidRPr="00B12178" w:rsidRDefault="00035DEA" w:rsidP="0072371B">
      <w:pPr>
        <w:numPr>
          <w:ilvl w:val="0"/>
          <w:numId w:val="14"/>
        </w:numPr>
      </w:pPr>
      <w:r>
        <w:t>R</w:t>
      </w:r>
      <w:r w:rsidR="00B12178" w:rsidRPr="00B12178">
        <w:t>esponsibility for administration and documentation (or for there to be adequate administrative and IT support);</w:t>
      </w:r>
    </w:p>
    <w:p w:rsidR="00B12178" w:rsidRPr="00B12178" w:rsidRDefault="00035DEA" w:rsidP="0072371B">
      <w:pPr>
        <w:numPr>
          <w:ilvl w:val="0"/>
          <w:numId w:val="14"/>
        </w:numPr>
      </w:pPr>
      <w:r>
        <w:t>K</w:t>
      </w:r>
      <w:r w:rsidR="00576048">
        <w:t>nowledge/ expertise in media m</w:t>
      </w:r>
      <w:r w:rsidR="00B12178" w:rsidRPr="00B12178">
        <w:t>anagement and a clear communication strategy – or access to this specialist support via the</w:t>
      </w:r>
      <w:r w:rsidR="00576048">
        <w:t xml:space="preserve"> organisation’s communications t</w:t>
      </w:r>
      <w:r w:rsidR="00B12178" w:rsidRPr="00B12178">
        <w:t>eam</w:t>
      </w:r>
      <w:r w:rsidR="004043CA">
        <w:t xml:space="preserve"> (see </w:t>
      </w:r>
      <w:r>
        <w:t>A</w:t>
      </w:r>
      <w:r w:rsidR="004043CA">
        <w:t>ppendix 7</w:t>
      </w:r>
      <w:r w:rsidR="000120C9">
        <w:t>)</w:t>
      </w:r>
      <w:r w:rsidR="00B12178" w:rsidRPr="00B12178">
        <w:t xml:space="preserve">; </w:t>
      </w:r>
    </w:p>
    <w:p w:rsidR="00B12178" w:rsidRPr="00B12178" w:rsidRDefault="00035DEA" w:rsidP="0072371B">
      <w:pPr>
        <w:numPr>
          <w:ilvl w:val="0"/>
          <w:numId w:val="14"/>
        </w:numPr>
      </w:pPr>
      <w:r>
        <w:t>A</w:t>
      </w:r>
      <w:r w:rsidR="00B12178" w:rsidRPr="00B12178">
        <w:t xml:space="preserve">ccess to appropriate legal </w:t>
      </w:r>
      <w:r w:rsidR="00F62E88">
        <w:t xml:space="preserve">and/or information governance </w:t>
      </w:r>
      <w:r w:rsidR="00B12178" w:rsidRPr="00B12178">
        <w:t xml:space="preserve">support where appropriate; </w:t>
      </w:r>
    </w:p>
    <w:p w:rsidR="00B12178" w:rsidRPr="00B12178" w:rsidRDefault="00035DEA" w:rsidP="0072371B">
      <w:pPr>
        <w:numPr>
          <w:ilvl w:val="0"/>
          <w:numId w:val="14"/>
        </w:numPr>
      </w:pPr>
      <w:r>
        <w:t>A</w:t>
      </w:r>
      <w:r w:rsidR="00B12178" w:rsidRPr="00B12178">
        <w:t>ccess to competent proof</w:t>
      </w:r>
      <w:r>
        <w:t>-</w:t>
      </w:r>
      <w:r w:rsidR="00B12178" w:rsidRPr="00B12178">
        <w:t>reading services</w:t>
      </w:r>
      <w:r w:rsidR="00B12178">
        <w:t xml:space="preserve"> where required</w:t>
      </w:r>
      <w:r w:rsidR="00B12178" w:rsidRPr="00B12178">
        <w:t>; and</w:t>
      </w:r>
    </w:p>
    <w:p w:rsidR="00B12178" w:rsidRPr="00B12178" w:rsidRDefault="00035DEA" w:rsidP="0072371B">
      <w:pPr>
        <w:numPr>
          <w:ilvl w:val="0"/>
          <w:numId w:val="14"/>
        </w:numPr>
      </w:pPr>
      <w:r>
        <w:t>A</w:t>
      </w:r>
      <w:r w:rsidR="00B12178" w:rsidRPr="00B12178">
        <w:t>ppropriate links/mechanisms to share lesson locally and national</w:t>
      </w:r>
      <w:r>
        <w:t>ly</w:t>
      </w:r>
      <w:r w:rsidR="00B12178" w:rsidRPr="00B12178">
        <w:t xml:space="preserve"> during the investigation as required.</w:t>
      </w:r>
    </w:p>
    <w:p w:rsidR="00B12178" w:rsidRDefault="00B12178" w:rsidP="00B12178"/>
    <w:p w:rsidR="0008040F" w:rsidRDefault="0008040F" w:rsidP="002F11B3">
      <w:pPr>
        <w:pStyle w:val="Heading2"/>
        <w:numPr>
          <w:ilvl w:val="1"/>
          <w:numId w:val="8"/>
        </w:numPr>
      </w:pPr>
      <w:bookmarkStart w:id="49" w:name="_Toc414568061"/>
      <w:r>
        <w:t>Involving and supporting those affected</w:t>
      </w:r>
      <w:bookmarkEnd w:id="49"/>
    </w:p>
    <w:p w:rsidR="008811B2" w:rsidRDefault="002D479C" w:rsidP="00D46124">
      <w:r w:rsidRPr="002D479C">
        <w:t>The needs</w:t>
      </w:r>
      <w:r>
        <w:t xml:space="preserve"> of those affected should be a</w:t>
      </w:r>
      <w:r w:rsidRPr="002D479C">
        <w:t xml:space="preserve"> primary conc</w:t>
      </w:r>
      <w:r>
        <w:t>ern for</w:t>
      </w:r>
      <w:r w:rsidRPr="002D479C">
        <w:t xml:space="preserve"> those involved in the response to and the investigation of serious incidents.</w:t>
      </w:r>
      <w:r w:rsidRPr="008811B2">
        <w:t xml:space="preserve"> It</w:t>
      </w:r>
      <w:r w:rsidR="008811B2" w:rsidRPr="008811B2">
        <w:t xml:space="preserve"> is important that affected patients,</w:t>
      </w:r>
      <w:r w:rsidR="008811B2">
        <w:t xml:space="preserve"> staff, </w:t>
      </w:r>
      <w:r w:rsidR="008811B2" w:rsidRPr="008811B2">
        <w:t xml:space="preserve">victims, perpetrators, patients/victims’ families and carers are involved and supported </w:t>
      </w:r>
      <w:r w:rsidR="009E592A">
        <w:t>throughout</w:t>
      </w:r>
      <w:r w:rsidR="008811B2" w:rsidRPr="008811B2">
        <w:t xml:space="preserve"> the </w:t>
      </w:r>
      <w:r w:rsidR="009E592A">
        <w:t>investigation.</w:t>
      </w:r>
    </w:p>
    <w:p w:rsidR="009E592A" w:rsidRDefault="009E592A" w:rsidP="00D46124"/>
    <w:p w:rsidR="008811B2" w:rsidRDefault="008811B2" w:rsidP="002F11B3">
      <w:pPr>
        <w:pStyle w:val="Heading3"/>
        <w:numPr>
          <w:ilvl w:val="2"/>
          <w:numId w:val="8"/>
        </w:numPr>
      </w:pPr>
      <w:bookmarkStart w:id="50" w:name="_Toc414568062"/>
      <w:r>
        <w:t>Involving patients, victims and their families/carers</w:t>
      </w:r>
      <w:bookmarkEnd w:id="50"/>
    </w:p>
    <w:p w:rsidR="007E20F3" w:rsidRDefault="004043CA" w:rsidP="00D46124">
      <w:r>
        <w:t>Involvement</w:t>
      </w:r>
      <w:r w:rsidR="007E20F3">
        <w:t xml:space="preserve"> b</w:t>
      </w:r>
      <w:r w:rsidR="00576048">
        <w:t xml:space="preserve">egins with a genuine apology. The </w:t>
      </w:r>
      <w:r>
        <w:t>principles of honesty,</w:t>
      </w:r>
      <w:r w:rsidR="007E20F3" w:rsidRPr="007E20F3">
        <w:t xml:space="preserve"> openness</w:t>
      </w:r>
      <w:r>
        <w:t xml:space="preserve"> and transparency (as set out in </w:t>
      </w:r>
      <w:r w:rsidR="00035DEA">
        <w:t>P</w:t>
      </w:r>
      <w:r>
        <w:t xml:space="preserve">art </w:t>
      </w:r>
      <w:r w:rsidR="00035DEA">
        <w:t>T</w:t>
      </w:r>
      <w:r>
        <w:t xml:space="preserve">wo of this </w:t>
      </w:r>
      <w:r w:rsidR="005A7486">
        <w:t>Framework</w:t>
      </w:r>
      <w:r>
        <w:t xml:space="preserve"> which endorses </w:t>
      </w:r>
      <w:r w:rsidR="007E20F3" w:rsidRPr="007E20F3">
        <w:t>the NHS Being Open guidance</w:t>
      </w:r>
      <w:r>
        <w:t>)</w:t>
      </w:r>
      <w:r w:rsidR="007E20F3" w:rsidRPr="007E20F3">
        <w:t xml:space="preserve"> must be applied. </w:t>
      </w:r>
      <w:r w:rsidR="007E20F3">
        <w:t xml:space="preserve"> </w:t>
      </w:r>
      <w:r w:rsidR="007E20F3" w:rsidRPr="007E20F3">
        <w:t xml:space="preserve">All staff involved in liaising with and supporting bereaved and distressed </w:t>
      </w:r>
      <w:r w:rsidR="00302595">
        <w:t>people</w:t>
      </w:r>
      <w:r w:rsidR="00302595" w:rsidRPr="007E20F3">
        <w:t xml:space="preserve"> </w:t>
      </w:r>
      <w:r w:rsidR="007E20F3" w:rsidRPr="007E20F3">
        <w:t>must have the necessary skills, expertise, and knowledge of the incident in order to explain what went wrong promptly, fully and compassionately. The appropriate person must be identified for each case. This can include clinicians involved in the incident but this is not always appropriate and should be considered on a case</w:t>
      </w:r>
      <w:r w:rsidR="00035DEA">
        <w:t>-</w:t>
      </w:r>
      <w:r w:rsidR="007E20F3" w:rsidRPr="007E20F3">
        <w:t>by</w:t>
      </w:r>
      <w:r w:rsidR="00035DEA">
        <w:t>-</w:t>
      </w:r>
      <w:r w:rsidR="007E20F3" w:rsidRPr="007E20F3">
        <w:t xml:space="preserve">case basis.  </w:t>
      </w:r>
    </w:p>
    <w:p w:rsidR="007E20F3" w:rsidRDefault="007E20F3" w:rsidP="00D46124"/>
    <w:p w:rsidR="008811B2" w:rsidRDefault="008811B2" w:rsidP="00D46124">
      <w:r w:rsidRPr="008811B2">
        <w:lastRenderedPageBreak/>
        <w:t>An early meeting must be held to explain what action is being tak</w:t>
      </w:r>
      <w:r>
        <w:t>en, how they can be informed,</w:t>
      </w:r>
      <w:r w:rsidRPr="008811B2">
        <w:t xml:space="preserve"> what support processes have been put in place</w:t>
      </w:r>
      <w:r>
        <w:t xml:space="preserve"> and what they can expect from the investigation</w:t>
      </w:r>
      <w:r w:rsidRPr="008811B2">
        <w:t xml:space="preserve">. </w:t>
      </w:r>
      <w:r>
        <w:t xml:space="preserve">This must set out realistic and achievable timescales and outcomes. </w:t>
      </w:r>
    </w:p>
    <w:p w:rsidR="008811B2" w:rsidRDefault="008811B2" w:rsidP="00D46124"/>
    <w:p w:rsidR="00D46124" w:rsidRDefault="007E20F3" w:rsidP="00D46124">
      <w:r>
        <w:t>Those involved will want to know</w:t>
      </w:r>
      <w:r w:rsidR="00D46124">
        <w:t>:</w:t>
      </w:r>
    </w:p>
    <w:p w:rsidR="00D46124" w:rsidRDefault="00D46124" w:rsidP="00D46124"/>
    <w:p w:rsidR="008811B2" w:rsidRDefault="00D46124" w:rsidP="0072371B">
      <w:pPr>
        <w:pStyle w:val="ListParagraph"/>
        <w:numPr>
          <w:ilvl w:val="0"/>
          <w:numId w:val="17"/>
        </w:numPr>
      </w:pPr>
      <w:r>
        <w:t>What happened?</w:t>
      </w:r>
    </w:p>
    <w:p w:rsidR="008811B2" w:rsidRDefault="00D46124" w:rsidP="0072371B">
      <w:pPr>
        <w:pStyle w:val="ListParagraph"/>
        <w:numPr>
          <w:ilvl w:val="0"/>
          <w:numId w:val="17"/>
        </w:numPr>
      </w:pPr>
      <w:r>
        <w:t>Why it happened?</w:t>
      </w:r>
    </w:p>
    <w:p w:rsidR="008811B2" w:rsidRDefault="00D46124" w:rsidP="0072371B">
      <w:pPr>
        <w:pStyle w:val="ListParagraph"/>
        <w:numPr>
          <w:ilvl w:val="0"/>
          <w:numId w:val="17"/>
        </w:numPr>
      </w:pPr>
      <w:r>
        <w:t>How it happened?</w:t>
      </w:r>
    </w:p>
    <w:p w:rsidR="00D46124" w:rsidRDefault="00D46124" w:rsidP="0072371B">
      <w:pPr>
        <w:pStyle w:val="ListParagraph"/>
        <w:numPr>
          <w:ilvl w:val="0"/>
          <w:numId w:val="17"/>
        </w:numPr>
      </w:pPr>
      <w:r>
        <w:t>What can be done to stop it happening again to someone else?</w:t>
      </w:r>
    </w:p>
    <w:p w:rsidR="00C7219E" w:rsidRDefault="00C7219E" w:rsidP="008811B2">
      <w:pPr>
        <w:spacing w:after="120"/>
        <w:rPr>
          <w:rFonts w:cstheme="minorHAnsi"/>
          <w:szCs w:val="24"/>
        </w:rPr>
      </w:pPr>
    </w:p>
    <w:p w:rsidR="008811B2" w:rsidRPr="004610C4" w:rsidRDefault="008811B2" w:rsidP="008811B2">
      <w:pPr>
        <w:spacing w:after="120"/>
        <w:rPr>
          <w:rFonts w:cstheme="minorHAnsi"/>
          <w:szCs w:val="24"/>
        </w:rPr>
      </w:pPr>
      <w:r>
        <w:rPr>
          <w:rFonts w:cstheme="minorHAnsi"/>
          <w:szCs w:val="24"/>
        </w:rPr>
        <w:t>They</w:t>
      </w:r>
      <w:r w:rsidRPr="004610C4">
        <w:rPr>
          <w:rFonts w:cstheme="minorHAnsi"/>
          <w:szCs w:val="24"/>
        </w:rPr>
        <w:t xml:space="preserve"> must</w:t>
      </w:r>
      <w:r w:rsidR="007E20F3">
        <w:rPr>
          <w:rFonts w:cstheme="minorHAnsi"/>
          <w:szCs w:val="24"/>
        </w:rPr>
        <w:t xml:space="preserve"> also</w:t>
      </w:r>
      <w:r w:rsidRPr="004610C4">
        <w:rPr>
          <w:rFonts w:cstheme="minorHAnsi"/>
          <w:szCs w:val="24"/>
        </w:rPr>
        <w:t xml:space="preserve"> have access to the necessary information and should:</w:t>
      </w:r>
    </w:p>
    <w:p w:rsidR="008811B2" w:rsidRPr="004610C4" w:rsidRDefault="00035DEA" w:rsidP="0072371B">
      <w:pPr>
        <w:numPr>
          <w:ilvl w:val="0"/>
          <w:numId w:val="16"/>
        </w:numPr>
        <w:autoSpaceDE w:val="0"/>
        <w:autoSpaceDN w:val="0"/>
        <w:adjustRightInd w:val="0"/>
        <w:spacing w:after="120" w:line="201" w:lineRule="atLeast"/>
        <w:ind w:right="100"/>
        <w:rPr>
          <w:rFonts w:cstheme="minorHAnsi"/>
          <w:color w:val="000000"/>
          <w:szCs w:val="24"/>
        </w:rPr>
      </w:pPr>
      <w:r>
        <w:rPr>
          <w:rFonts w:cstheme="minorHAnsi"/>
          <w:color w:val="000000"/>
          <w:szCs w:val="24"/>
        </w:rPr>
        <w:t>B</w:t>
      </w:r>
      <w:r w:rsidR="008811B2" w:rsidRPr="004610C4">
        <w:rPr>
          <w:rFonts w:cstheme="minorHAnsi"/>
          <w:color w:val="000000"/>
          <w:szCs w:val="24"/>
        </w:rPr>
        <w:t xml:space="preserve">e made aware, </w:t>
      </w:r>
      <w:r w:rsidR="008811B2">
        <w:rPr>
          <w:rFonts w:cstheme="minorHAnsi"/>
          <w:color w:val="000000"/>
          <w:szCs w:val="24"/>
        </w:rPr>
        <w:t>in person</w:t>
      </w:r>
      <w:r w:rsidR="008811B2" w:rsidRPr="004610C4">
        <w:rPr>
          <w:rFonts w:cstheme="minorHAnsi"/>
          <w:color w:val="000000"/>
          <w:szCs w:val="24"/>
        </w:rPr>
        <w:t xml:space="preserve"> and in writing, as soon as possible of the process of the investigation to be held, the rationale for the investigation and the purpose of the investigation;</w:t>
      </w:r>
    </w:p>
    <w:p w:rsidR="008811B2" w:rsidRPr="004610C4" w:rsidRDefault="00035DEA" w:rsidP="0072371B">
      <w:pPr>
        <w:numPr>
          <w:ilvl w:val="0"/>
          <w:numId w:val="16"/>
        </w:numPr>
        <w:autoSpaceDE w:val="0"/>
        <w:autoSpaceDN w:val="0"/>
        <w:adjustRightInd w:val="0"/>
        <w:spacing w:before="140" w:line="201" w:lineRule="atLeast"/>
        <w:ind w:right="100"/>
        <w:rPr>
          <w:rFonts w:cstheme="minorHAnsi"/>
          <w:color w:val="000000"/>
          <w:szCs w:val="24"/>
        </w:rPr>
      </w:pPr>
      <w:r>
        <w:rPr>
          <w:rFonts w:cstheme="minorHAnsi"/>
          <w:color w:val="000000"/>
          <w:szCs w:val="24"/>
        </w:rPr>
        <w:t>H</w:t>
      </w:r>
      <w:r w:rsidR="008811B2" w:rsidRPr="004610C4">
        <w:rPr>
          <w:rFonts w:cstheme="minorHAnsi"/>
          <w:color w:val="000000"/>
          <w:szCs w:val="24"/>
        </w:rPr>
        <w:t>ave the opportunity to express any concerns</w:t>
      </w:r>
      <w:r w:rsidR="009E592A">
        <w:rPr>
          <w:rFonts w:cstheme="minorHAnsi"/>
          <w:color w:val="000000"/>
          <w:szCs w:val="24"/>
        </w:rPr>
        <w:t xml:space="preserve"> and question</w:t>
      </w:r>
      <w:r w:rsidR="00CE2440">
        <w:rPr>
          <w:rFonts w:cstheme="minorHAnsi"/>
          <w:color w:val="000000"/>
          <w:szCs w:val="24"/>
        </w:rPr>
        <w:t>s</w:t>
      </w:r>
      <w:r w:rsidR="009E592A">
        <w:rPr>
          <w:rFonts w:cstheme="minorHAnsi"/>
          <w:color w:val="000000"/>
          <w:szCs w:val="24"/>
        </w:rPr>
        <w:t xml:space="preserve">. Often the family offer invaluable insight into </w:t>
      </w:r>
      <w:r w:rsidR="00CE2440">
        <w:rPr>
          <w:rFonts w:cstheme="minorHAnsi"/>
          <w:color w:val="000000"/>
          <w:szCs w:val="24"/>
        </w:rPr>
        <w:t xml:space="preserve">service and </w:t>
      </w:r>
      <w:r w:rsidR="009E592A">
        <w:rPr>
          <w:rFonts w:cstheme="minorHAnsi"/>
          <w:color w:val="000000"/>
          <w:szCs w:val="24"/>
        </w:rPr>
        <w:t xml:space="preserve">care delivery and can </w:t>
      </w:r>
      <w:r>
        <w:rPr>
          <w:rFonts w:cstheme="minorHAnsi"/>
          <w:color w:val="000000"/>
          <w:szCs w:val="24"/>
        </w:rPr>
        <w:t>frequently</w:t>
      </w:r>
      <w:r w:rsidR="009E592A">
        <w:rPr>
          <w:rFonts w:cstheme="minorHAnsi"/>
          <w:color w:val="000000"/>
          <w:szCs w:val="24"/>
        </w:rPr>
        <w:t xml:space="preserve"> ask the key questions</w:t>
      </w:r>
      <w:r w:rsidR="008811B2" w:rsidRPr="004610C4">
        <w:rPr>
          <w:rFonts w:cstheme="minorHAnsi"/>
          <w:color w:val="000000"/>
          <w:szCs w:val="24"/>
        </w:rPr>
        <w:t>;</w:t>
      </w:r>
    </w:p>
    <w:p w:rsidR="008811B2" w:rsidRPr="004610C4" w:rsidRDefault="00035DEA" w:rsidP="0072371B">
      <w:pPr>
        <w:numPr>
          <w:ilvl w:val="0"/>
          <w:numId w:val="16"/>
        </w:numPr>
        <w:autoSpaceDE w:val="0"/>
        <w:autoSpaceDN w:val="0"/>
        <w:adjustRightInd w:val="0"/>
        <w:spacing w:before="140" w:line="201" w:lineRule="atLeast"/>
        <w:ind w:right="100"/>
        <w:rPr>
          <w:rFonts w:cstheme="minorHAnsi"/>
          <w:color w:val="000000"/>
          <w:szCs w:val="24"/>
        </w:rPr>
      </w:pPr>
      <w:r>
        <w:rPr>
          <w:rFonts w:cstheme="minorHAnsi"/>
          <w:color w:val="000000"/>
          <w:szCs w:val="24"/>
        </w:rPr>
        <w:t>H</w:t>
      </w:r>
      <w:r w:rsidR="009E592A">
        <w:rPr>
          <w:rFonts w:cstheme="minorHAnsi"/>
          <w:color w:val="000000"/>
          <w:szCs w:val="24"/>
        </w:rPr>
        <w:t xml:space="preserve">ave an opportunity to inform </w:t>
      </w:r>
      <w:r w:rsidR="008811B2" w:rsidRPr="004610C4">
        <w:rPr>
          <w:rFonts w:cstheme="minorHAnsi"/>
          <w:color w:val="000000"/>
          <w:szCs w:val="24"/>
        </w:rPr>
        <w:t xml:space="preserve">the terms of reference for investigations; </w:t>
      </w:r>
    </w:p>
    <w:p w:rsidR="008811B2" w:rsidRPr="004610C4" w:rsidRDefault="00035DEA" w:rsidP="0072371B">
      <w:pPr>
        <w:numPr>
          <w:ilvl w:val="0"/>
          <w:numId w:val="16"/>
        </w:numPr>
        <w:autoSpaceDE w:val="0"/>
        <w:autoSpaceDN w:val="0"/>
        <w:adjustRightInd w:val="0"/>
        <w:spacing w:before="140" w:line="201" w:lineRule="atLeast"/>
        <w:ind w:right="100"/>
        <w:rPr>
          <w:rFonts w:cstheme="minorHAnsi"/>
          <w:color w:val="000000"/>
          <w:szCs w:val="24"/>
        </w:rPr>
      </w:pPr>
      <w:r>
        <w:rPr>
          <w:rFonts w:cstheme="minorHAnsi"/>
          <w:color w:val="000000"/>
          <w:szCs w:val="24"/>
        </w:rPr>
        <w:t>B</w:t>
      </w:r>
      <w:r w:rsidR="008811B2" w:rsidRPr="004610C4">
        <w:rPr>
          <w:rFonts w:cstheme="minorHAnsi"/>
          <w:color w:val="000000"/>
          <w:szCs w:val="24"/>
        </w:rPr>
        <w:t>e provided with the terms of reference</w:t>
      </w:r>
      <w:r w:rsidR="00CE2440">
        <w:rPr>
          <w:rFonts w:cstheme="minorHAnsi"/>
          <w:color w:val="000000"/>
          <w:szCs w:val="24"/>
        </w:rPr>
        <w:t xml:space="preserve"> to ensure their questions are reflected</w:t>
      </w:r>
      <w:r w:rsidR="008811B2" w:rsidRPr="004610C4">
        <w:rPr>
          <w:rFonts w:cstheme="minorHAnsi"/>
          <w:color w:val="000000"/>
          <w:szCs w:val="24"/>
        </w:rPr>
        <w:t>;</w:t>
      </w:r>
    </w:p>
    <w:p w:rsidR="008811B2" w:rsidRPr="004610C4" w:rsidRDefault="00035DEA" w:rsidP="0072371B">
      <w:pPr>
        <w:numPr>
          <w:ilvl w:val="0"/>
          <w:numId w:val="16"/>
        </w:numPr>
        <w:autoSpaceDE w:val="0"/>
        <w:autoSpaceDN w:val="0"/>
        <w:adjustRightInd w:val="0"/>
        <w:spacing w:before="140" w:line="201" w:lineRule="atLeast"/>
        <w:ind w:right="100"/>
        <w:rPr>
          <w:rFonts w:cstheme="minorHAnsi"/>
          <w:color w:val="000000"/>
          <w:szCs w:val="24"/>
        </w:rPr>
      </w:pPr>
      <w:r>
        <w:rPr>
          <w:rFonts w:cstheme="minorHAnsi"/>
          <w:color w:val="000000"/>
          <w:szCs w:val="24"/>
        </w:rPr>
        <w:t>K</w:t>
      </w:r>
      <w:r w:rsidR="008811B2" w:rsidRPr="004610C4">
        <w:rPr>
          <w:rFonts w:cstheme="minorHAnsi"/>
          <w:color w:val="000000"/>
          <w:szCs w:val="24"/>
        </w:rPr>
        <w:t xml:space="preserve">now how they will be able to contribute to the process of investigation, for example by giving evidence; </w:t>
      </w:r>
    </w:p>
    <w:p w:rsidR="008811B2" w:rsidRDefault="00035DEA" w:rsidP="0072371B">
      <w:pPr>
        <w:numPr>
          <w:ilvl w:val="0"/>
          <w:numId w:val="16"/>
        </w:numPr>
        <w:autoSpaceDE w:val="0"/>
        <w:autoSpaceDN w:val="0"/>
        <w:adjustRightInd w:val="0"/>
        <w:spacing w:before="140" w:line="201" w:lineRule="atLeast"/>
        <w:ind w:right="100"/>
        <w:rPr>
          <w:rFonts w:cstheme="minorHAnsi"/>
          <w:color w:val="000000"/>
          <w:szCs w:val="24"/>
        </w:rPr>
      </w:pPr>
      <w:r>
        <w:rPr>
          <w:rFonts w:cstheme="minorHAnsi"/>
          <w:color w:val="000000"/>
          <w:szCs w:val="24"/>
        </w:rPr>
        <w:t>B</w:t>
      </w:r>
      <w:r w:rsidR="008811B2" w:rsidRPr="004610C4">
        <w:rPr>
          <w:rFonts w:cstheme="minorHAnsi"/>
          <w:color w:val="000000"/>
          <w:szCs w:val="24"/>
        </w:rPr>
        <w:t xml:space="preserve">e given access to </w:t>
      </w:r>
      <w:r w:rsidR="008811B2">
        <w:rPr>
          <w:rFonts w:cstheme="minorHAnsi"/>
          <w:color w:val="000000"/>
          <w:szCs w:val="24"/>
        </w:rPr>
        <w:t xml:space="preserve">the </w:t>
      </w:r>
      <w:r w:rsidR="008811B2" w:rsidRPr="004610C4">
        <w:rPr>
          <w:rFonts w:cstheme="minorHAnsi"/>
          <w:color w:val="000000"/>
          <w:szCs w:val="24"/>
        </w:rPr>
        <w:t>findings of any investigation</w:t>
      </w:r>
      <w:r w:rsidR="008811B2">
        <w:rPr>
          <w:rFonts w:cstheme="minorHAnsi"/>
          <w:color w:val="000000"/>
          <w:szCs w:val="24"/>
        </w:rPr>
        <w:t>, including interim findings</w:t>
      </w:r>
      <w:r w:rsidR="003C2EDC">
        <w:rPr>
          <w:rStyle w:val="FootnoteReference"/>
          <w:rFonts w:cstheme="minorHAnsi"/>
          <w:color w:val="000000"/>
          <w:szCs w:val="24"/>
        </w:rPr>
        <w:footnoteReference w:id="42"/>
      </w:r>
      <w:r w:rsidR="00D039E9">
        <w:rPr>
          <w:rFonts w:cstheme="minorHAnsi"/>
          <w:color w:val="000000"/>
          <w:szCs w:val="24"/>
        </w:rPr>
        <w:t xml:space="preserve"> </w:t>
      </w:r>
      <w:r w:rsidR="008811B2" w:rsidRPr="004610C4">
        <w:rPr>
          <w:rFonts w:cstheme="minorHAnsi"/>
          <w:color w:val="000000"/>
          <w:szCs w:val="24"/>
        </w:rPr>
        <w:t xml:space="preserve"> </w:t>
      </w:r>
    </w:p>
    <w:p w:rsidR="00CE2440" w:rsidRPr="004610C4" w:rsidRDefault="00035DEA" w:rsidP="0072371B">
      <w:pPr>
        <w:numPr>
          <w:ilvl w:val="0"/>
          <w:numId w:val="16"/>
        </w:numPr>
        <w:autoSpaceDE w:val="0"/>
        <w:autoSpaceDN w:val="0"/>
        <w:adjustRightInd w:val="0"/>
        <w:spacing w:before="140" w:line="201" w:lineRule="atLeast"/>
        <w:ind w:right="100"/>
        <w:rPr>
          <w:rFonts w:cstheme="minorHAnsi"/>
          <w:color w:val="000000"/>
          <w:szCs w:val="24"/>
        </w:rPr>
      </w:pPr>
      <w:r>
        <w:rPr>
          <w:rFonts w:cstheme="minorHAnsi"/>
          <w:color w:val="000000"/>
          <w:szCs w:val="24"/>
        </w:rPr>
        <w:t>H</w:t>
      </w:r>
      <w:r w:rsidR="000675BE">
        <w:rPr>
          <w:rFonts w:cstheme="minorHAnsi"/>
          <w:color w:val="000000"/>
          <w:szCs w:val="24"/>
        </w:rPr>
        <w:t>ave</w:t>
      </w:r>
      <w:r w:rsidR="00CE2440">
        <w:rPr>
          <w:rFonts w:cstheme="minorHAnsi"/>
          <w:color w:val="000000"/>
          <w:szCs w:val="24"/>
        </w:rPr>
        <w:t xml:space="preserve"> an opportunity to respond/comment on the findings and recommendations outlined in the final report and be assured that</w:t>
      </w:r>
      <w:r w:rsidR="00E310E5">
        <w:rPr>
          <w:rFonts w:cstheme="minorHAnsi"/>
          <w:color w:val="000000"/>
          <w:szCs w:val="24"/>
        </w:rPr>
        <w:t xml:space="preserve"> this will be considered as part of the quality assurance and closure process undertaken by </w:t>
      </w:r>
      <w:r w:rsidR="00CE2440">
        <w:rPr>
          <w:rFonts w:cstheme="minorHAnsi"/>
          <w:color w:val="000000"/>
          <w:szCs w:val="24"/>
        </w:rPr>
        <w:t>the commissioner;</w:t>
      </w:r>
    </w:p>
    <w:p w:rsidR="008811B2" w:rsidRPr="008811B2" w:rsidRDefault="00035DEA" w:rsidP="0072371B">
      <w:pPr>
        <w:numPr>
          <w:ilvl w:val="0"/>
          <w:numId w:val="16"/>
        </w:numPr>
        <w:autoSpaceDE w:val="0"/>
        <w:autoSpaceDN w:val="0"/>
        <w:adjustRightInd w:val="0"/>
        <w:spacing w:before="140" w:line="201" w:lineRule="atLeast"/>
        <w:ind w:right="100"/>
        <w:rPr>
          <w:rFonts w:cstheme="minorHAnsi"/>
          <w:color w:val="000000"/>
          <w:szCs w:val="24"/>
        </w:rPr>
      </w:pPr>
      <w:r>
        <w:rPr>
          <w:rFonts w:cstheme="minorHAnsi"/>
          <w:color w:val="000000"/>
          <w:szCs w:val="24"/>
        </w:rPr>
        <w:t>B</w:t>
      </w:r>
      <w:r w:rsidR="008811B2" w:rsidRPr="004610C4">
        <w:rPr>
          <w:rFonts w:cstheme="minorHAnsi"/>
          <w:color w:val="000000"/>
          <w:szCs w:val="24"/>
        </w:rPr>
        <w:t>e informed, with reasons, if there is a delay in starting the investigation</w:t>
      </w:r>
      <w:r w:rsidR="000B6F0A">
        <w:rPr>
          <w:rFonts w:cstheme="minorHAnsi"/>
          <w:color w:val="000000"/>
          <w:szCs w:val="24"/>
        </w:rPr>
        <w:t>, completing</w:t>
      </w:r>
      <w:r>
        <w:rPr>
          <w:rFonts w:cstheme="minorHAnsi"/>
          <w:color w:val="000000"/>
          <w:szCs w:val="24"/>
        </w:rPr>
        <w:t xml:space="preserve"> the</w:t>
      </w:r>
      <w:r w:rsidR="000B6F0A">
        <w:rPr>
          <w:rFonts w:cstheme="minorHAnsi"/>
          <w:color w:val="000000"/>
          <w:szCs w:val="24"/>
        </w:rPr>
        <w:t xml:space="preserve"> investigation</w:t>
      </w:r>
      <w:r w:rsidR="008811B2" w:rsidRPr="004610C4">
        <w:rPr>
          <w:rFonts w:cstheme="minorHAnsi"/>
          <w:color w:val="000000"/>
          <w:szCs w:val="24"/>
        </w:rPr>
        <w:t xml:space="preserve"> or in the publication of the final report;</w:t>
      </w:r>
      <w:r w:rsidR="008811B2">
        <w:rPr>
          <w:rFonts w:cstheme="minorHAnsi"/>
          <w:color w:val="000000"/>
          <w:szCs w:val="24"/>
        </w:rPr>
        <w:t xml:space="preserve"> and </w:t>
      </w:r>
      <w:r w:rsidR="008811B2" w:rsidRPr="008811B2">
        <w:rPr>
          <w:rFonts w:cstheme="minorHAnsi"/>
          <w:color w:val="000000"/>
          <w:szCs w:val="24"/>
        </w:rPr>
        <w:t>be offered media advice, should the media make enquiries.</w:t>
      </w:r>
    </w:p>
    <w:p w:rsidR="00D46124" w:rsidRDefault="00D46124" w:rsidP="00D46124"/>
    <w:p w:rsidR="009648D4" w:rsidRDefault="00814750" w:rsidP="009648D4">
      <w:r>
        <w:t xml:space="preserve">It is important that </w:t>
      </w:r>
      <w:r w:rsidR="009648D4">
        <w:t>app</w:t>
      </w:r>
      <w:r>
        <w:t>ropriate treatment and support</w:t>
      </w:r>
      <w:r w:rsidR="009648D4">
        <w:t xml:space="preserve"> is provided for </w:t>
      </w:r>
      <w:r w:rsidR="000B6F0A">
        <w:t xml:space="preserve">patient and </w:t>
      </w:r>
      <w:r w:rsidR="009648D4">
        <w:t>victims</w:t>
      </w:r>
      <w:r w:rsidR="000B6F0A">
        <w:t xml:space="preserve"> and their</w:t>
      </w:r>
      <w:r w:rsidR="009648D4">
        <w:t xml:space="preserve"> families and carers. This should be considered on a</w:t>
      </w:r>
      <w:r>
        <w:t>n</w:t>
      </w:r>
      <w:r w:rsidR="009648D4">
        <w:t xml:space="preserve"> individual basis. However</w:t>
      </w:r>
      <w:r w:rsidR="00831E98">
        <w:t>,</w:t>
      </w:r>
      <w:r w:rsidR="009648D4">
        <w:t xml:space="preserve"> the following needs should be considered:</w:t>
      </w:r>
    </w:p>
    <w:p w:rsidR="009648D4" w:rsidRDefault="009648D4" w:rsidP="009648D4"/>
    <w:p w:rsidR="009648D4" w:rsidRDefault="009648D4" w:rsidP="0072371B">
      <w:pPr>
        <w:pStyle w:val="ListParagraph"/>
        <w:numPr>
          <w:ilvl w:val="0"/>
          <w:numId w:val="23"/>
        </w:numPr>
      </w:pPr>
      <w:r>
        <w:t>The need for an independent advocate with necessary skills for working with berea</w:t>
      </w:r>
      <w:r w:rsidR="00814750">
        <w:t>ved and traumatised individuals;</w:t>
      </w:r>
    </w:p>
    <w:p w:rsidR="009648D4" w:rsidRDefault="009648D4" w:rsidP="0072371B">
      <w:pPr>
        <w:pStyle w:val="ListParagraph"/>
        <w:numPr>
          <w:ilvl w:val="0"/>
          <w:numId w:val="23"/>
        </w:numPr>
      </w:pPr>
      <w:r>
        <w:t>Support with transport,</w:t>
      </w:r>
      <w:r w:rsidR="00814750">
        <w:t xml:space="preserve"> disability, and language needs;</w:t>
      </w:r>
    </w:p>
    <w:p w:rsidR="009648D4" w:rsidRDefault="009648D4" w:rsidP="0072371B">
      <w:pPr>
        <w:pStyle w:val="ListParagraph"/>
        <w:numPr>
          <w:ilvl w:val="0"/>
          <w:numId w:val="23"/>
        </w:numPr>
      </w:pPr>
      <w:r>
        <w:lastRenderedPageBreak/>
        <w:t>Support during and after the investigation. This may include counselling or signposting to suitable organisation that can provide bereavement or po</w:t>
      </w:r>
      <w:r w:rsidR="00814750">
        <w:t>st-traumatic stress counselling;</w:t>
      </w:r>
    </w:p>
    <w:p w:rsidR="009648D4" w:rsidRDefault="009648D4" w:rsidP="0072371B">
      <w:pPr>
        <w:pStyle w:val="ListParagraph"/>
        <w:numPr>
          <w:ilvl w:val="0"/>
          <w:numId w:val="23"/>
        </w:numPr>
      </w:pPr>
      <w:r>
        <w:t>Further meetings with the organisations involved or support in liaising with ot</w:t>
      </w:r>
      <w:r w:rsidR="00814750">
        <w:t>her agencies such as the police;</w:t>
      </w:r>
    </w:p>
    <w:p w:rsidR="007E20F3" w:rsidRDefault="007E20F3" w:rsidP="009648D4">
      <w:pPr>
        <w:ind w:left="720" w:hanging="720"/>
      </w:pPr>
    </w:p>
    <w:p w:rsidR="002D479C" w:rsidRDefault="002D479C" w:rsidP="009E592A">
      <w:r>
        <w:t>Depending on the nature of the incident</w:t>
      </w:r>
      <w:r w:rsidR="00035DEA">
        <w:t>,</w:t>
      </w:r>
      <w:r>
        <w:t xml:space="preserve"> it may be necessary for several </w:t>
      </w:r>
      <w:r w:rsidR="006D532C">
        <w:t>organisations</w:t>
      </w:r>
      <w:r>
        <w:t xml:space="preserve"> to make contact with</w:t>
      </w:r>
      <w:r w:rsidR="006D532C">
        <w:t xml:space="preserve"> those affected</w:t>
      </w:r>
      <w:r>
        <w:t xml:space="preserve">. </w:t>
      </w:r>
      <w:r w:rsidR="006D532C">
        <w:t>This should be clearly explained to the patients/ victims and families as required. A co</w:t>
      </w:r>
      <w:r w:rsidR="00035DEA">
        <w:t>-</w:t>
      </w:r>
      <w:r w:rsidR="006D532C">
        <w:t>ordinated approach should be agreed by the partner agencies in discussion with those affected.</w:t>
      </w:r>
    </w:p>
    <w:p w:rsidR="006D532C" w:rsidRDefault="006D532C" w:rsidP="009E592A"/>
    <w:p w:rsidR="009E592A" w:rsidRDefault="009E592A" w:rsidP="009E592A">
      <w:r>
        <w:t xml:space="preserve">It is important to acknowledge that other </w:t>
      </w:r>
      <w:r w:rsidR="00814750">
        <w:t xml:space="preserve">patients/ </w:t>
      </w:r>
      <w:r>
        <w:t>service users may have been involved or</w:t>
      </w:r>
      <w:r w:rsidR="00814750">
        <w:t xml:space="preserve"> affected by the</w:t>
      </w:r>
      <w:r>
        <w:t xml:space="preserve"> incident </w:t>
      </w:r>
      <w:r w:rsidR="00814750">
        <w:t>and they</w:t>
      </w:r>
      <w:r>
        <w:t xml:space="preserve"> must</w:t>
      </w:r>
      <w:r w:rsidR="00814750">
        <w:t xml:space="preserve"> also</w:t>
      </w:r>
      <w:r>
        <w:t xml:space="preserve"> be offered the appropriate level of support and involvement.</w:t>
      </w:r>
    </w:p>
    <w:p w:rsidR="002938D0" w:rsidRDefault="002938D0" w:rsidP="009E592A"/>
    <w:p w:rsidR="008811B2" w:rsidRDefault="007E20F3" w:rsidP="002F11B3">
      <w:pPr>
        <w:pStyle w:val="Heading3"/>
        <w:numPr>
          <w:ilvl w:val="2"/>
          <w:numId w:val="8"/>
        </w:numPr>
      </w:pPr>
      <w:bookmarkStart w:id="51" w:name="_Toc414568063"/>
      <w:r>
        <w:t>Staff</w:t>
      </w:r>
      <w:bookmarkEnd w:id="51"/>
      <w:r>
        <w:t xml:space="preserve"> </w:t>
      </w:r>
    </w:p>
    <w:p w:rsidR="00DA7F7B" w:rsidRDefault="00DA7F7B" w:rsidP="00DA7F7B">
      <w:r>
        <w:t>It is important to recognise that serious incidents can have a significant impact on staff who were involved or who may have witnessed the incident.</w:t>
      </w:r>
    </w:p>
    <w:p w:rsidR="00DA7F7B" w:rsidRDefault="00DA7F7B" w:rsidP="00DA7F7B"/>
    <w:p w:rsidR="00DA7F7B" w:rsidRDefault="00DA7F7B" w:rsidP="00DA7F7B">
      <w:r>
        <w:t>Like victims and families they will want to know what happened and why and what can be done to prevent the incident happening again.</w:t>
      </w:r>
    </w:p>
    <w:p w:rsidR="00DA7F7B" w:rsidRDefault="00DA7F7B" w:rsidP="00DA7F7B"/>
    <w:p w:rsidR="00DA7F7B" w:rsidRDefault="00DA7F7B" w:rsidP="00DA7F7B">
      <w:r>
        <w:t xml:space="preserve">Staff </w:t>
      </w:r>
      <w:r w:rsidR="009E592A">
        <w:t xml:space="preserve">involved in the investigation process </w:t>
      </w:r>
      <w:r>
        <w:t>should have the opportunity to access professional advice from their relevant professional body or union, staff counselling services and occupational health services. They should also be provided with information about the stages of</w:t>
      </w:r>
      <w:r w:rsidR="00035DEA">
        <w:t xml:space="preserve"> the</w:t>
      </w:r>
      <w:r>
        <w:t xml:space="preserve"> investigation and how they will be expected to contribute to the process. </w:t>
      </w:r>
    </w:p>
    <w:p w:rsidR="00DA7F7B" w:rsidRDefault="00DA7F7B" w:rsidP="00DA7F7B"/>
    <w:p w:rsidR="00B659BD" w:rsidRDefault="00DA7F7B" w:rsidP="00DA7F7B">
      <w:r>
        <w:t xml:space="preserve">Provider organisations should make it clear that the investigation itself is separate to any </w:t>
      </w:r>
      <w:r w:rsidR="00035DEA">
        <w:t>other</w:t>
      </w:r>
      <w:r w:rsidR="00791F1E">
        <w:t xml:space="preserve"> legal and/or </w:t>
      </w:r>
      <w:r>
        <w:t>disciplinary process</w:t>
      </w:r>
      <w:r w:rsidR="00814750">
        <w:t>. O</w:t>
      </w:r>
      <w:r w:rsidR="00DC0132">
        <w:t>rganisation</w:t>
      </w:r>
      <w:r w:rsidR="00814750">
        <w:t>s</w:t>
      </w:r>
      <w:r w:rsidR="00B659BD">
        <w:t xml:space="preserve"> must</w:t>
      </w:r>
      <w:r w:rsidR="00B659BD" w:rsidRPr="00B659BD">
        <w:t xml:space="preserve"> advocat</w:t>
      </w:r>
      <w:r w:rsidR="00B659BD">
        <w:t>e justifiable accountability</w:t>
      </w:r>
      <w:r w:rsidR="00311A7D">
        <w:t xml:space="preserve"> but</w:t>
      </w:r>
      <w:r w:rsidR="00B659BD">
        <w:t xml:space="preserve"> there must be</w:t>
      </w:r>
      <w:r w:rsidR="00B659BD" w:rsidRPr="00B659BD">
        <w:t xml:space="preserve"> zero tolerance for inappropriate blame</w:t>
      </w:r>
      <w:r>
        <w:t xml:space="preserve"> </w:t>
      </w:r>
      <w:r w:rsidR="00B659BD">
        <w:t xml:space="preserve">and those involved </w:t>
      </w:r>
      <w:r w:rsidR="00DC0132">
        <w:t>must not</w:t>
      </w:r>
      <w:r>
        <w:t xml:space="preserve"> be unfairly exposed to punitive disciplinary action, increased medico-legal risk or any threat to their registration by virtue of involvement in the investigation process. </w:t>
      </w:r>
    </w:p>
    <w:p w:rsidR="00B659BD" w:rsidRDefault="00B659BD" w:rsidP="00DA7F7B"/>
    <w:p w:rsidR="00D46124" w:rsidRDefault="00B659BD" w:rsidP="00DA7F7B">
      <w:r>
        <w:t>T</w:t>
      </w:r>
      <w:r w:rsidR="00DA7F7B">
        <w:t>he Incident Decision Tree</w:t>
      </w:r>
      <w:r>
        <w:rPr>
          <w:rStyle w:val="FootnoteReference"/>
        </w:rPr>
        <w:footnoteReference w:id="43"/>
      </w:r>
      <w:r w:rsidR="00DA7F7B">
        <w:t xml:space="preserve"> </w:t>
      </w:r>
      <w:r w:rsidR="008D6F89">
        <w:t>should</w:t>
      </w:r>
      <w:r>
        <w:t xml:space="preserve"> be used to </w:t>
      </w:r>
      <w:r w:rsidRPr="00B659BD">
        <w:t>promote fair and consistent staff treatment within and between healthcare organisations</w:t>
      </w:r>
      <w:r>
        <w:t>. In</w:t>
      </w:r>
      <w:r w:rsidR="00305EFC">
        <w:t xml:space="preserve"> the very</w:t>
      </w:r>
      <w:r>
        <w:t xml:space="preserve"> rare circumstances where </w:t>
      </w:r>
      <w:r w:rsidR="00DA7F7B">
        <w:t xml:space="preserve">a member of </w:t>
      </w:r>
      <w:r>
        <w:t>staff has committed a criminal</w:t>
      </w:r>
      <w:r w:rsidR="00DA7F7B">
        <w:t xml:space="preserve"> or </w:t>
      </w:r>
      <w:r>
        <w:t>malicious act</w:t>
      </w:r>
      <w:r w:rsidR="00DA7F7B">
        <w:t>, the organisation should advise the member(s) of staff at an early stage to enable them to obtain separate legal advice and/or representation.</w:t>
      </w:r>
      <w:r>
        <w:rPr>
          <w:rStyle w:val="FootnoteReference"/>
        </w:rPr>
        <w:footnoteReference w:id="44"/>
      </w:r>
    </w:p>
    <w:p w:rsidR="00DA7F7B" w:rsidRPr="0008040F" w:rsidRDefault="00DA7F7B" w:rsidP="00DA7F7B"/>
    <w:p w:rsidR="005D2131" w:rsidRDefault="005D2131" w:rsidP="002F11B3">
      <w:pPr>
        <w:pStyle w:val="Heading2"/>
        <w:numPr>
          <w:ilvl w:val="1"/>
          <w:numId w:val="8"/>
        </w:numPr>
      </w:pPr>
      <w:bookmarkStart w:id="52" w:name="_Toc414568064"/>
      <w:r>
        <w:t>Agreeing the level</w:t>
      </w:r>
      <w:r w:rsidR="00305EFC">
        <w:t>/type</w:t>
      </w:r>
      <w:r>
        <w:t xml:space="preserve"> of investigation</w:t>
      </w:r>
      <w:bookmarkEnd w:id="52"/>
    </w:p>
    <w:p w:rsidR="00CD418E" w:rsidRDefault="003A18AB" w:rsidP="003A18AB">
      <w:r w:rsidRPr="003A18AB">
        <w:lastRenderedPageBreak/>
        <w:t>The nature, severity and complexity of serious incidents var</w:t>
      </w:r>
      <w:r w:rsidR="00035DEA">
        <w:t>y</w:t>
      </w:r>
      <w:r w:rsidR="00607246">
        <w:t xml:space="preserve"> on a case-by-</w:t>
      </w:r>
      <w:r w:rsidRPr="003A18AB">
        <w:t>case basis and therefore the level of response should be dependent on and proportionate to the circumstances of each specific incident. The appropriate level of investigation should be proposed by the prov</w:t>
      </w:r>
      <w:r w:rsidR="009A6CB5">
        <w:t>ider as informed by the initial</w:t>
      </w:r>
      <w:r w:rsidRPr="003A18AB">
        <w:t xml:space="preserve"> review. The investigations team and</w:t>
      </w:r>
      <w:r w:rsidR="00791F1E">
        <w:t>,</w:t>
      </w:r>
      <w:r w:rsidRPr="003A18AB">
        <w:t xml:space="preserve"> where applicable</w:t>
      </w:r>
      <w:r w:rsidR="00791F1E">
        <w:t>,</w:t>
      </w:r>
      <w:r w:rsidRPr="003A18AB">
        <w:t xml:space="preserve"> other stakeholders will use the information </w:t>
      </w:r>
      <w:r>
        <w:t xml:space="preserve">obtained through the initial </w:t>
      </w:r>
      <w:r w:rsidRPr="003A18AB">
        <w:t xml:space="preserve">review to inform the level of investigation. </w:t>
      </w:r>
      <w:r w:rsidR="00305EFC">
        <w:t>T</w:t>
      </w:r>
      <w:r w:rsidRPr="003A18AB">
        <w:t>he level of investigation may need to be reviewed and changed as new information or evidence emerges as part of the investigation process.</w:t>
      </w:r>
      <w:r w:rsidR="000120C9">
        <w:t xml:space="preserve"> </w:t>
      </w:r>
      <w:r w:rsidR="00CD418E">
        <w:t xml:space="preserve">Within the NHS there are </w:t>
      </w:r>
      <w:r w:rsidR="009A6CB5" w:rsidRPr="009A6CB5">
        <w:t>three recognised levels of systems</w:t>
      </w:r>
      <w:r w:rsidR="00305EFC">
        <w:t>-based</w:t>
      </w:r>
      <w:r w:rsidR="009A6CB5" w:rsidRPr="009A6CB5">
        <w:t xml:space="preserve"> investigation (currently referred to as RCA</w:t>
      </w:r>
      <w:r w:rsidR="009A6CB5">
        <w:t xml:space="preserve"> investigation). These are described in the table below.</w:t>
      </w:r>
      <w:r w:rsidR="00B659BD">
        <w:br w:type="page"/>
      </w:r>
    </w:p>
    <w:tbl>
      <w:tblPr>
        <w:tblStyle w:val="TableGrid"/>
        <w:tblW w:w="10774" w:type="dxa"/>
        <w:tblInd w:w="-743" w:type="dxa"/>
        <w:tblLayout w:type="fixed"/>
        <w:tblLook w:val="04A0" w:firstRow="1" w:lastRow="0" w:firstColumn="1" w:lastColumn="0" w:noHBand="0" w:noVBand="1"/>
      </w:tblPr>
      <w:tblGrid>
        <w:gridCol w:w="1985"/>
        <w:gridCol w:w="2268"/>
        <w:gridCol w:w="1985"/>
        <w:gridCol w:w="2410"/>
        <w:gridCol w:w="2126"/>
      </w:tblGrid>
      <w:tr w:rsidR="0067728C" w:rsidTr="00C503C3">
        <w:tc>
          <w:tcPr>
            <w:tcW w:w="10774" w:type="dxa"/>
            <w:gridSpan w:val="5"/>
            <w:shd w:val="clear" w:color="auto" w:fill="43AEFF" w:themeFill="accent1" w:themeFillTint="99"/>
          </w:tcPr>
          <w:p w:rsidR="0067728C" w:rsidRPr="00545929" w:rsidRDefault="0067728C" w:rsidP="00EC3190">
            <w:pPr>
              <w:spacing w:before="120"/>
              <w:rPr>
                <w:b/>
                <w:sz w:val="22"/>
              </w:rPr>
            </w:pPr>
            <w:r w:rsidRPr="00EC3190">
              <w:rPr>
                <w:sz w:val="20"/>
              </w:rPr>
              <w:t>Information in this table provides an outline of the levels of system</w:t>
            </w:r>
            <w:r w:rsidR="00305EFC" w:rsidRPr="00EC3190">
              <w:rPr>
                <w:sz w:val="20"/>
              </w:rPr>
              <w:t>s-based</w:t>
            </w:r>
            <w:r w:rsidRPr="00EC3190">
              <w:rPr>
                <w:sz w:val="20"/>
              </w:rPr>
              <w:t xml:space="preserve"> investigation</w:t>
            </w:r>
            <w:r w:rsidR="00305EFC" w:rsidRPr="00EC3190">
              <w:rPr>
                <w:sz w:val="20"/>
              </w:rPr>
              <w:t>s</w:t>
            </w:r>
            <w:r w:rsidRPr="00EC3190">
              <w:rPr>
                <w:sz w:val="20"/>
              </w:rPr>
              <w:t xml:space="preserve"> recognised in the NHS (currently referred to as RCA investigation). Within the NHS</w:t>
            </w:r>
            <w:r w:rsidR="00305EFC" w:rsidRPr="00EC3190">
              <w:rPr>
                <w:sz w:val="20"/>
              </w:rPr>
              <w:t>,</w:t>
            </w:r>
            <w:r w:rsidRPr="00EC3190">
              <w:rPr>
                <w:sz w:val="20"/>
              </w:rPr>
              <w:t xml:space="preserve"> most serious incident</w:t>
            </w:r>
            <w:r w:rsidR="00551D1D" w:rsidRPr="00EC3190">
              <w:rPr>
                <w:sz w:val="20"/>
              </w:rPr>
              <w:t>s</w:t>
            </w:r>
            <w:r w:rsidRPr="00EC3190">
              <w:rPr>
                <w:sz w:val="20"/>
              </w:rPr>
              <w:t xml:space="preserve"> are investigated internally using a comprehensive</w:t>
            </w:r>
            <w:r w:rsidR="00551D1D" w:rsidRPr="00EC3190">
              <w:rPr>
                <w:sz w:val="20"/>
              </w:rPr>
              <w:t xml:space="preserve"> investigation</w:t>
            </w:r>
            <w:r w:rsidRPr="00EC3190">
              <w:rPr>
                <w:sz w:val="20"/>
              </w:rPr>
              <w:t xml:space="preserve"> </w:t>
            </w:r>
            <w:r w:rsidR="00305EFC" w:rsidRPr="00EC3190">
              <w:rPr>
                <w:sz w:val="20"/>
              </w:rPr>
              <w:t>approach</w:t>
            </w:r>
            <w:r w:rsidRPr="00EC3190">
              <w:rPr>
                <w:sz w:val="20"/>
              </w:rPr>
              <w:t xml:space="preserve">. </w:t>
            </w:r>
            <w:r w:rsidR="00545929" w:rsidRPr="00EC3190">
              <w:rPr>
                <w:sz w:val="20"/>
              </w:rPr>
              <w:t>R</w:t>
            </w:r>
            <w:r w:rsidRPr="00EC3190">
              <w:rPr>
                <w:sz w:val="20"/>
              </w:rPr>
              <w:t>esources to support systems</w:t>
            </w:r>
            <w:r w:rsidR="00305EFC" w:rsidRPr="00EC3190">
              <w:rPr>
                <w:sz w:val="20"/>
              </w:rPr>
              <w:t>-based</w:t>
            </w:r>
            <w:r w:rsidRPr="00EC3190">
              <w:rPr>
                <w:sz w:val="20"/>
              </w:rPr>
              <w:t xml:space="preserve"> investigation in the NHS are a</w:t>
            </w:r>
            <w:r w:rsidR="00545929" w:rsidRPr="00EC3190">
              <w:rPr>
                <w:sz w:val="20"/>
              </w:rPr>
              <w:t xml:space="preserve">vailable online from: </w:t>
            </w:r>
            <w:hyperlink r:id="rId26" w:history="1">
              <w:r w:rsidR="00EC3190" w:rsidRPr="00EC3190">
                <w:rPr>
                  <w:rStyle w:val="Hyperlink"/>
                  <w:sz w:val="20"/>
                </w:rPr>
                <w:t>http://www.england.nhs.uk/ourwork/patientsafety/root-cause/</w:t>
              </w:r>
            </w:hyperlink>
            <w:r w:rsidR="00EC3190" w:rsidRPr="00EC3190">
              <w:rPr>
                <w:sz w:val="20"/>
              </w:rPr>
              <w:t xml:space="preserve"> </w:t>
            </w:r>
            <w:r w:rsidRPr="00EC3190">
              <w:rPr>
                <w:b/>
                <w:sz w:val="20"/>
              </w:rPr>
              <w:t xml:space="preserve">For further information relating to the circumstances and requirements for commissioning independent investigations </w:t>
            </w:r>
            <w:r w:rsidR="008D092E" w:rsidRPr="00EC3190">
              <w:rPr>
                <w:b/>
                <w:sz w:val="20"/>
              </w:rPr>
              <w:t xml:space="preserve">see appendix 3. </w:t>
            </w:r>
            <w:r w:rsidRPr="00EC3190">
              <w:rPr>
                <w:b/>
                <w:sz w:val="20"/>
              </w:rPr>
              <w:t xml:space="preserve"> </w:t>
            </w:r>
          </w:p>
        </w:tc>
      </w:tr>
      <w:tr w:rsidR="0008040F" w:rsidTr="00C503C3">
        <w:tc>
          <w:tcPr>
            <w:tcW w:w="1985" w:type="dxa"/>
            <w:shd w:val="clear" w:color="auto" w:fill="FF73BC" w:themeFill="accent2" w:themeFillTint="66"/>
          </w:tcPr>
          <w:p w:rsidR="00CD418E" w:rsidRPr="00B26EB3" w:rsidRDefault="00CD418E" w:rsidP="003A18AB">
            <w:pPr>
              <w:rPr>
                <w:b/>
                <w:sz w:val="22"/>
                <w:szCs w:val="22"/>
              </w:rPr>
            </w:pPr>
            <w:r w:rsidRPr="00B26EB3">
              <w:rPr>
                <w:b/>
                <w:sz w:val="22"/>
                <w:szCs w:val="22"/>
              </w:rPr>
              <w:t>Level</w:t>
            </w:r>
          </w:p>
        </w:tc>
        <w:tc>
          <w:tcPr>
            <w:tcW w:w="2268" w:type="dxa"/>
            <w:shd w:val="clear" w:color="auto" w:fill="FF73BC" w:themeFill="accent2" w:themeFillTint="66"/>
          </w:tcPr>
          <w:p w:rsidR="00CD418E" w:rsidRPr="00B26EB3" w:rsidRDefault="00B26EB3" w:rsidP="003A18AB">
            <w:pPr>
              <w:rPr>
                <w:b/>
                <w:sz w:val="22"/>
                <w:szCs w:val="22"/>
              </w:rPr>
            </w:pPr>
            <w:r w:rsidRPr="00B26EB3">
              <w:rPr>
                <w:b/>
                <w:sz w:val="22"/>
                <w:szCs w:val="22"/>
              </w:rPr>
              <w:t>Application</w:t>
            </w:r>
          </w:p>
        </w:tc>
        <w:tc>
          <w:tcPr>
            <w:tcW w:w="1985" w:type="dxa"/>
            <w:shd w:val="clear" w:color="auto" w:fill="FF73BC" w:themeFill="accent2" w:themeFillTint="66"/>
          </w:tcPr>
          <w:p w:rsidR="00CD418E" w:rsidRPr="00B26EB3" w:rsidRDefault="00CD418E" w:rsidP="00C819ED">
            <w:pPr>
              <w:rPr>
                <w:b/>
                <w:sz w:val="22"/>
              </w:rPr>
            </w:pPr>
            <w:r w:rsidRPr="00B26EB3">
              <w:rPr>
                <w:b/>
                <w:sz w:val="22"/>
              </w:rPr>
              <w:t>Product</w:t>
            </w:r>
            <w:r w:rsidR="0008040F" w:rsidRPr="00B26EB3">
              <w:rPr>
                <w:b/>
                <w:sz w:val="22"/>
              </w:rPr>
              <w:t>/ outcome</w:t>
            </w:r>
            <w:r w:rsidR="00C819ED">
              <w:rPr>
                <w:b/>
                <w:sz w:val="22"/>
              </w:rPr>
              <w:t xml:space="preserve"> </w:t>
            </w:r>
          </w:p>
        </w:tc>
        <w:tc>
          <w:tcPr>
            <w:tcW w:w="2410" w:type="dxa"/>
            <w:shd w:val="clear" w:color="auto" w:fill="FF73BC" w:themeFill="accent2" w:themeFillTint="66"/>
          </w:tcPr>
          <w:p w:rsidR="00CD418E" w:rsidRPr="00B26EB3" w:rsidRDefault="00BE11F2" w:rsidP="003A18AB">
            <w:pPr>
              <w:rPr>
                <w:b/>
                <w:sz w:val="22"/>
              </w:rPr>
            </w:pPr>
            <w:r>
              <w:rPr>
                <w:b/>
                <w:sz w:val="22"/>
              </w:rPr>
              <w:t>Owner</w:t>
            </w:r>
          </w:p>
        </w:tc>
        <w:tc>
          <w:tcPr>
            <w:tcW w:w="2126" w:type="dxa"/>
            <w:shd w:val="clear" w:color="auto" w:fill="FF73BC" w:themeFill="accent2" w:themeFillTint="66"/>
          </w:tcPr>
          <w:p w:rsidR="00CD418E" w:rsidRPr="00B26EB3" w:rsidRDefault="00CD418E" w:rsidP="003A18AB">
            <w:pPr>
              <w:rPr>
                <w:b/>
                <w:sz w:val="22"/>
              </w:rPr>
            </w:pPr>
            <w:r w:rsidRPr="00B26EB3">
              <w:rPr>
                <w:b/>
                <w:sz w:val="22"/>
              </w:rPr>
              <w:t>Timescale for completion</w:t>
            </w:r>
          </w:p>
        </w:tc>
      </w:tr>
      <w:tr w:rsidR="0008040F" w:rsidTr="00C503C3">
        <w:tc>
          <w:tcPr>
            <w:tcW w:w="1985" w:type="dxa"/>
          </w:tcPr>
          <w:p w:rsidR="00CD418E" w:rsidRPr="00B26EB3" w:rsidRDefault="00CD418E" w:rsidP="003A18AB">
            <w:pPr>
              <w:rPr>
                <w:sz w:val="22"/>
                <w:szCs w:val="22"/>
              </w:rPr>
            </w:pPr>
            <w:r w:rsidRPr="00B26EB3">
              <w:rPr>
                <w:sz w:val="22"/>
                <w:szCs w:val="22"/>
              </w:rPr>
              <w:t>Level 1</w:t>
            </w:r>
          </w:p>
          <w:p w:rsidR="009A6CB5" w:rsidRPr="00B26EB3" w:rsidRDefault="009A6CB5" w:rsidP="003A18AB">
            <w:pPr>
              <w:rPr>
                <w:sz w:val="22"/>
                <w:szCs w:val="22"/>
              </w:rPr>
            </w:pPr>
          </w:p>
          <w:p w:rsidR="009A6CB5" w:rsidRPr="008413C8" w:rsidRDefault="009A6CB5" w:rsidP="003A18AB">
            <w:pPr>
              <w:rPr>
                <w:b/>
                <w:sz w:val="22"/>
                <w:szCs w:val="22"/>
              </w:rPr>
            </w:pPr>
            <w:r w:rsidRPr="008413C8">
              <w:rPr>
                <w:b/>
                <w:sz w:val="22"/>
                <w:szCs w:val="22"/>
              </w:rPr>
              <w:t>Concise internal investigation</w:t>
            </w:r>
          </w:p>
          <w:p w:rsidR="00CD418E" w:rsidRPr="00B26EB3" w:rsidRDefault="00CD418E" w:rsidP="003A18AB">
            <w:pPr>
              <w:rPr>
                <w:sz w:val="22"/>
                <w:szCs w:val="22"/>
              </w:rPr>
            </w:pPr>
          </w:p>
        </w:tc>
        <w:tc>
          <w:tcPr>
            <w:tcW w:w="2268" w:type="dxa"/>
          </w:tcPr>
          <w:p w:rsidR="00E8562C" w:rsidRPr="00B26EB3" w:rsidRDefault="00CD418E" w:rsidP="00305EFC">
            <w:pPr>
              <w:rPr>
                <w:sz w:val="22"/>
                <w:szCs w:val="22"/>
              </w:rPr>
            </w:pPr>
            <w:r w:rsidRPr="00B26EB3">
              <w:rPr>
                <w:sz w:val="22"/>
                <w:szCs w:val="22"/>
              </w:rPr>
              <w:t xml:space="preserve">Suited to less complex incidents which can be managed by individuals or </w:t>
            </w:r>
            <w:r w:rsidR="00E310E5">
              <w:rPr>
                <w:sz w:val="22"/>
                <w:szCs w:val="22"/>
              </w:rPr>
              <w:t xml:space="preserve">a </w:t>
            </w:r>
            <w:r w:rsidRPr="00B26EB3">
              <w:rPr>
                <w:sz w:val="22"/>
                <w:szCs w:val="22"/>
              </w:rPr>
              <w:t xml:space="preserve">small group </w:t>
            </w:r>
            <w:r w:rsidR="00FD4B00">
              <w:rPr>
                <w:sz w:val="22"/>
                <w:szCs w:val="22"/>
              </w:rPr>
              <w:t>at a local level</w:t>
            </w:r>
          </w:p>
        </w:tc>
        <w:tc>
          <w:tcPr>
            <w:tcW w:w="1985" w:type="dxa"/>
          </w:tcPr>
          <w:p w:rsidR="00CD418E" w:rsidRPr="00B26EB3" w:rsidRDefault="00CD418E" w:rsidP="00CD418E">
            <w:pPr>
              <w:rPr>
                <w:sz w:val="22"/>
              </w:rPr>
            </w:pPr>
            <w:r w:rsidRPr="00B26EB3">
              <w:rPr>
                <w:sz w:val="22"/>
              </w:rPr>
              <w:t>Concise/ compact investigatio</w:t>
            </w:r>
            <w:r w:rsidR="00297B2D" w:rsidRPr="00B26EB3">
              <w:rPr>
                <w:sz w:val="22"/>
              </w:rPr>
              <w:t xml:space="preserve">n report </w:t>
            </w:r>
            <w:r w:rsidRPr="00B26EB3">
              <w:rPr>
                <w:sz w:val="22"/>
              </w:rPr>
              <w:t>which includes the essentials of a credible investigation</w:t>
            </w:r>
          </w:p>
        </w:tc>
        <w:tc>
          <w:tcPr>
            <w:tcW w:w="2410" w:type="dxa"/>
          </w:tcPr>
          <w:p w:rsidR="00CD418E" w:rsidRPr="00B26EB3" w:rsidRDefault="00591C8B" w:rsidP="00591C8B">
            <w:pPr>
              <w:rPr>
                <w:sz w:val="22"/>
              </w:rPr>
            </w:pPr>
            <w:r>
              <w:rPr>
                <w:sz w:val="22"/>
              </w:rPr>
              <w:t>Provider o</w:t>
            </w:r>
            <w:r w:rsidR="00CD418E" w:rsidRPr="00B26EB3">
              <w:rPr>
                <w:sz w:val="22"/>
              </w:rPr>
              <w:t>rganisation</w:t>
            </w:r>
            <w:r>
              <w:rPr>
                <w:sz w:val="22"/>
              </w:rPr>
              <w:t xml:space="preserve"> (Trust Chief Executive/relevant deputy)</w:t>
            </w:r>
            <w:r w:rsidR="00CD418E" w:rsidRPr="00B26EB3">
              <w:rPr>
                <w:sz w:val="22"/>
              </w:rPr>
              <w:t xml:space="preserve"> in which the incident occurred</w:t>
            </w:r>
            <w:r>
              <w:rPr>
                <w:sz w:val="22"/>
              </w:rPr>
              <w:t xml:space="preserve">, </w:t>
            </w:r>
            <w:r w:rsidR="00CD418E" w:rsidRPr="00B26EB3">
              <w:rPr>
                <w:sz w:val="22"/>
              </w:rPr>
              <w:t xml:space="preserve">providing principles for objectivity are upheld </w:t>
            </w:r>
          </w:p>
        </w:tc>
        <w:tc>
          <w:tcPr>
            <w:tcW w:w="2126" w:type="dxa"/>
            <w:vMerge w:val="restart"/>
            <w:vAlign w:val="center"/>
          </w:tcPr>
          <w:p w:rsidR="00CD418E" w:rsidRDefault="009A6CB5" w:rsidP="00305EFC">
            <w:pPr>
              <w:rPr>
                <w:sz w:val="22"/>
              </w:rPr>
            </w:pPr>
            <w:r w:rsidRPr="00591C8B">
              <w:rPr>
                <w:sz w:val="22"/>
              </w:rPr>
              <w:t>Internal investigations</w:t>
            </w:r>
            <w:r w:rsidR="00305EFC">
              <w:rPr>
                <w:sz w:val="22"/>
              </w:rPr>
              <w:t>, whether concise or comprehensive</w:t>
            </w:r>
            <w:r w:rsidRPr="00591C8B">
              <w:rPr>
                <w:sz w:val="22"/>
              </w:rPr>
              <w:t xml:space="preserve"> must</w:t>
            </w:r>
            <w:r w:rsidR="00CD418E" w:rsidRPr="00591C8B">
              <w:rPr>
                <w:sz w:val="22"/>
              </w:rPr>
              <w:t xml:space="preserve"> be completed within </w:t>
            </w:r>
            <w:r w:rsidR="00CD418E" w:rsidRPr="00F740FD">
              <w:rPr>
                <w:sz w:val="22"/>
              </w:rPr>
              <w:t xml:space="preserve">60 </w:t>
            </w:r>
            <w:r w:rsidR="008D092E" w:rsidRPr="00F740FD">
              <w:rPr>
                <w:sz w:val="22"/>
              </w:rPr>
              <w:t xml:space="preserve">working </w:t>
            </w:r>
            <w:r w:rsidR="00CD418E" w:rsidRPr="00F740FD">
              <w:rPr>
                <w:sz w:val="22"/>
              </w:rPr>
              <w:t>days</w:t>
            </w:r>
            <w:r w:rsidR="00CD418E" w:rsidRPr="004043CA">
              <w:rPr>
                <w:sz w:val="22"/>
              </w:rPr>
              <w:t xml:space="preserve"> </w:t>
            </w:r>
            <w:r w:rsidR="00CD418E" w:rsidRPr="00591C8B">
              <w:rPr>
                <w:sz w:val="22"/>
              </w:rPr>
              <w:t xml:space="preserve">of the incident being </w:t>
            </w:r>
            <w:r w:rsidR="003A74ED" w:rsidRPr="00591C8B">
              <w:rPr>
                <w:sz w:val="22"/>
              </w:rPr>
              <w:t>reported to the relevant commissioner</w:t>
            </w:r>
          </w:p>
          <w:p w:rsidR="00305EFC" w:rsidRDefault="00305EFC" w:rsidP="00305EFC">
            <w:pPr>
              <w:rPr>
                <w:sz w:val="22"/>
              </w:rPr>
            </w:pPr>
          </w:p>
          <w:p w:rsidR="00591C8B" w:rsidRPr="00591C8B" w:rsidRDefault="00591C8B" w:rsidP="00E8539B">
            <w:pPr>
              <w:rPr>
                <w:sz w:val="22"/>
              </w:rPr>
            </w:pPr>
            <w:r w:rsidRPr="00591C8B">
              <w:rPr>
                <w:sz w:val="22"/>
              </w:rPr>
              <w:t>All internal investigation should be supported by a clear investigation management plan</w:t>
            </w:r>
          </w:p>
        </w:tc>
      </w:tr>
      <w:tr w:rsidR="00297B2D" w:rsidTr="00C503C3">
        <w:tc>
          <w:tcPr>
            <w:tcW w:w="1985" w:type="dxa"/>
          </w:tcPr>
          <w:p w:rsidR="00CD418E" w:rsidRPr="00B26EB3" w:rsidRDefault="00CD418E" w:rsidP="003A18AB">
            <w:pPr>
              <w:rPr>
                <w:sz w:val="22"/>
                <w:szCs w:val="22"/>
              </w:rPr>
            </w:pPr>
            <w:r w:rsidRPr="00B26EB3">
              <w:rPr>
                <w:sz w:val="22"/>
                <w:szCs w:val="22"/>
              </w:rPr>
              <w:t>Level 2</w:t>
            </w:r>
          </w:p>
          <w:p w:rsidR="009A6CB5" w:rsidRPr="00B26EB3" w:rsidRDefault="009A6CB5" w:rsidP="003A18AB">
            <w:pPr>
              <w:rPr>
                <w:sz w:val="22"/>
                <w:szCs w:val="22"/>
              </w:rPr>
            </w:pPr>
          </w:p>
          <w:p w:rsidR="00591C8B" w:rsidRPr="008413C8" w:rsidRDefault="009A6CB5" w:rsidP="003A18AB">
            <w:pPr>
              <w:rPr>
                <w:b/>
                <w:sz w:val="22"/>
                <w:szCs w:val="22"/>
              </w:rPr>
            </w:pPr>
            <w:r w:rsidRPr="008413C8">
              <w:rPr>
                <w:b/>
                <w:sz w:val="22"/>
                <w:szCs w:val="22"/>
              </w:rPr>
              <w:t>Comprehensive internal investigation</w:t>
            </w:r>
            <w:r w:rsidR="00591C8B" w:rsidRPr="008413C8">
              <w:rPr>
                <w:b/>
                <w:sz w:val="22"/>
                <w:szCs w:val="22"/>
              </w:rPr>
              <w:t xml:space="preserve"> </w:t>
            </w:r>
          </w:p>
          <w:p w:rsidR="00591C8B" w:rsidRDefault="00591C8B" w:rsidP="003A18AB">
            <w:pPr>
              <w:rPr>
                <w:sz w:val="22"/>
                <w:szCs w:val="22"/>
              </w:rPr>
            </w:pPr>
          </w:p>
          <w:p w:rsidR="00591C8B" w:rsidRPr="00B26EB3" w:rsidRDefault="00591C8B" w:rsidP="00591C8B">
            <w:pPr>
              <w:rPr>
                <w:sz w:val="22"/>
                <w:szCs w:val="22"/>
              </w:rPr>
            </w:pPr>
            <w:r>
              <w:rPr>
                <w:sz w:val="22"/>
                <w:szCs w:val="22"/>
              </w:rPr>
              <w:t>(this includes those with an independent element or full independent investigations commissioned by the provider)</w:t>
            </w:r>
          </w:p>
        </w:tc>
        <w:tc>
          <w:tcPr>
            <w:tcW w:w="2268" w:type="dxa"/>
          </w:tcPr>
          <w:p w:rsidR="00CD418E" w:rsidRPr="00B26EB3" w:rsidRDefault="00297B2D" w:rsidP="003A18AB">
            <w:pPr>
              <w:rPr>
                <w:sz w:val="22"/>
                <w:szCs w:val="22"/>
              </w:rPr>
            </w:pPr>
            <w:r w:rsidRPr="00B26EB3">
              <w:rPr>
                <w:sz w:val="22"/>
                <w:szCs w:val="22"/>
              </w:rPr>
              <w:t>Suited to complex issues which should be managed by a multidisciplinary team involving experts and/or specialist investigators where applicable</w:t>
            </w:r>
          </w:p>
        </w:tc>
        <w:tc>
          <w:tcPr>
            <w:tcW w:w="1985" w:type="dxa"/>
          </w:tcPr>
          <w:p w:rsidR="00CD418E" w:rsidRPr="00B26EB3" w:rsidRDefault="00C819ED" w:rsidP="00297B2D">
            <w:pPr>
              <w:rPr>
                <w:sz w:val="22"/>
              </w:rPr>
            </w:pPr>
            <w:r>
              <w:rPr>
                <w:sz w:val="22"/>
              </w:rPr>
              <w:t>C</w:t>
            </w:r>
            <w:r w:rsidR="00297B2D" w:rsidRPr="00B26EB3">
              <w:rPr>
                <w:sz w:val="22"/>
              </w:rPr>
              <w:t>omprehensive investigation report</w:t>
            </w:r>
            <w:r w:rsidR="00CD418E" w:rsidRPr="00B26EB3">
              <w:rPr>
                <w:sz w:val="22"/>
              </w:rPr>
              <w:t xml:space="preserve"> including all elements of a credible investigation</w:t>
            </w:r>
          </w:p>
        </w:tc>
        <w:tc>
          <w:tcPr>
            <w:tcW w:w="2410" w:type="dxa"/>
          </w:tcPr>
          <w:p w:rsidR="00CD418E" w:rsidRPr="00B26EB3" w:rsidRDefault="00591C8B" w:rsidP="00591C8B">
            <w:pPr>
              <w:rPr>
                <w:sz w:val="22"/>
              </w:rPr>
            </w:pPr>
            <w:r w:rsidRPr="00591C8B">
              <w:rPr>
                <w:sz w:val="22"/>
              </w:rPr>
              <w:t>Provider organisation (Trust Chief Executive/relevant deputy) in which the incident occurred, providing principles for objectivity are upheld</w:t>
            </w:r>
            <w:r w:rsidR="00B26EB3" w:rsidRPr="00B26EB3">
              <w:rPr>
                <w:sz w:val="22"/>
              </w:rPr>
              <w:t>.</w:t>
            </w:r>
            <w:r w:rsidR="00297B2D" w:rsidRPr="00B26EB3">
              <w:rPr>
                <w:sz w:val="22"/>
              </w:rPr>
              <w:t xml:space="preserve"> Providers may wish to </w:t>
            </w:r>
            <w:r w:rsidR="00B26EB3" w:rsidRPr="00B26EB3">
              <w:rPr>
                <w:sz w:val="22"/>
              </w:rPr>
              <w:t xml:space="preserve">commission an independent </w:t>
            </w:r>
            <w:r>
              <w:rPr>
                <w:sz w:val="22"/>
              </w:rPr>
              <w:t xml:space="preserve">investigation or involve independent members as part of the investigation team </w:t>
            </w:r>
            <w:r w:rsidR="00297B2D" w:rsidRPr="00B26EB3">
              <w:rPr>
                <w:sz w:val="22"/>
              </w:rPr>
              <w:t xml:space="preserve">to add a level of external scrutiny/objectivity </w:t>
            </w:r>
          </w:p>
        </w:tc>
        <w:tc>
          <w:tcPr>
            <w:tcW w:w="2126" w:type="dxa"/>
            <w:vMerge/>
          </w:tcPr>
          <w:p w:rsidR="00CD418E" w:rsidRPr="00B26EB3" w:rsidRDefault="00CD418E" w:rsidP="003A18AB">
            <w:pPr>
              <w:rPr>
                <w:sz w:val="22"/>
              </w:rPr>
            </w:pPr>
          </w:p>
        </w:tc>
      </w:tr>
      <w:tr w:rsidR="0008040F" w:rsidTr="00C503C3">
        <w:tc>
          <w:tcPr>
            <w:tcW w:w="1985" w:type="dxa"/>
          </w:tcPr>
          <w:p w:rsidR="002D34E7" w:rsidRDefault="00297B2D" w:rsidP="003A18AB">
            <w:pPr>
              <w:rPr>
                <w:sz w:val="22"/>
                <w:szCs w:val="22"/>
              </w:rPr>
            </w:pPr>
            <w:r w:rsidRPr="00B26EB3">
              <w:rPr>
                <w:sz w:val="22"/>
                <w:szCs w:val="22"/>
              </w:rPr>
              <w:t xml:space="preserve">Level 3 </w:t>
            </w:r>
            <w:r w:rsidR="00C5560D" w:rsidRPr="008413C8">
              <w:rPr>
                <w:b/>
                <w:sz w:val="22"/>
                <w:szCs w:val="22"/>
              </w:rPr>
              <w:t>I</w:t>
            </w:r>
            <w:r w:rsidR="0008040F" w:rsidRPr="008413C8">
              <w:rPr>
                <w:b/>
                <w:sz w:val="22"/>
                <w:szCs w:val="22"/>
              </w:rPr>
              <w:t>ndependent investigation</w:t>
            </w:r>
          </w:p>
          <w:p w:rsidR="002D34E7" w:rsidRDefault="002D34E7" w:rsidP="003A18AB">
            <w:pPr>
              <w:rPr>
                <w:sz w:val="22"/>
                <w:szCs w:val="22"/>
              </w:rPr>
            </w:pPr>
          </w:p>
          <w:p w:rsidR="00CD418E" w:rsidRPr="00B26EB3" w:rsidRDefault="00297B2D" w:rsidP="003A18AB">
            <w:pPr>
              <w:rPr>
                <w:sz w:val="22"/>
                <w:szCs w:val="22"/>
              </w:rPr>
            </w:pPr>
            <w:r w:rsidRPr="00B26EB3">
              <w:rPr>
                <w:sz w:val="22"/>
                <w:szCs w:val="22"/>
              </w:rPr>
              <w:t xml:space="preserve"> </w:t>
            </w:r>
          </w:p>
        </w:tc>
        <w:tc>
          <w:tcPr>
            <w:tcW w:w="2268" w:type="dxa"/>
          </w:tcPr>
          <w:p w:rsidR="00CD418E" w:rsidRPr="00B26EB3" w:rsidRDefault="00B26EB3" w:rsidP="002D34E7">
            <w:pPr>
              <w:ind w:left="34"/>
              <w:rPr>
                <w:sz w:val="22"/>
                <w:szCs w:val="22"/>
              </w:rPr>
            </w:pPr>
            <w:r>
              <w:rPr>
                <w:sz w:val="22"/>
                <w:szCs w:val="22"/>
              </w:rPr>
              <w:t>Required w</w:t>
            </w:r>
            <w:r w:rsidR="00297B2D" w:rsidRPr="00B26EB3">
              <w:rPr>
                <w:sz w:val="22"/>
                <w:szCs w:val="22"/>
              </w:rPr>
              <w:t>here the integrity of the investigation is likely to be challenged or where it will be difficult for an organisation to conduct an objective investigation internally due to the size of organisation or the</w:t>
            </w:r>
            <w:r w:rsidR="00305EFC">
              <w:rPr>
                <w:sz w:val="22"/>
                <w:szCs w:val="22"/>
              </w:rPr>
              <w:t xml:space="preserve"> capacity/ capability</w:t>
            </w:r>
            <w:r w:rsidR="00297B2D" w:rsidRPr="00B26EB3">
              <w:rPr>
                <w:sz w:val="22"/>
                <w:szCs w:val="22"/>
              </w:rPr>
              <w:t xml:space="preserve"> </w:t>
            </w:r>
            <w:r w:rsidR="00305EFC">
              <w:rPr>
                <w:sz w:val="22"/>
                <w:szCs w:val="22"/>
              </w:rPr>
              <w:t xml:space="preserve">of the available </w:t>
            </w:r>
            <w:r w:rsidR="00297B2D" w:rsidRPr="00B26EB3">
              <w:rPr>
                <w:sz w:val="22"/>
                <w:szCs w:val="22"/>
              </w:rPr>
              <w:t>individuals</w:t>
            </w:r>
            <w:r w:rsidR="00F20F68">
              <w:rPr>
                <w:sz w:val="22"/>
                <w:szCs w:val="22"/>
              </w:rPr>
              <w:t xml:space="preserve"> and/or number of organisations </w:t>
            </w:r>
            <w:r w:rsidR="00297B2D" w:rsidRPr="00B26EB3">
              <w:rPr>
                <w:sz w:val="22"/>
                <w:szCs w:val="22"/>
              </w:rPr>
              <w:t xml:space="preserve"> involved</w:t>
            </w:r>
            <w:r w:rsidR="004043CA">
              <w:rPr>
                <w:sz w:val="22"/>
                <w:szCs w:val="22"/>
              </w:rPr>
              <w:t xml:space="preserve"> (see</w:t>
            </w:r>
            <w:r w:rsidR="0071232D">
              <w:rPr>
                <w:sz w:val="22"/>
                <w:szCs w:val="22"/>
              </w:rPr>
              <w:t xml:space="preserve"> </w:t>
            </w:r>
            <w:r w:rsidR="00035DEA">
              <w:rPr>
                <w:sz w:val="22"/>
                <w:szCs w:val="22"/>
              </w:rPr>
              <w:t>A</w:t>
            </w:r>
            <w:r w:rsidR="0071232D">
              <w:rPr>
                <w:sz w:val="22"/>
                <w:szCs w:val="22"/>
              </w:rPr>
              <w:t>ppendix 1 and</w:t>
            </w:r>
            <w:r w:rsidR="004043CA">
              <w:rPr>
                <w:sz w:val="22"/>
                <w:szCs w:val="22"/>
              </w:rPr>
              <w:t xml:space="preserve"> 3</w:t>
            </w:r>
            <w:r w:rsidR="002D34E7">
              <w:rPr>
                <w:sz w:val="22"/>
                <w:szCs w:val="22"/>
              </w:rPr>
              <w:t xml:space="preserve"> for further details)</w:t>
            </w:r>
          </w:p>
        </w:tc>
        <w:tc>
          <w:tcPr>
            <w:tcW w:w="1985" w:type="dxa"/>
          </w:tcPr>
          <w:p w:rsidR="00CD418E" w:rsidRDefault="00C819ED" w:rsidP="00C819ED">
            <w:r>
              <w:rPr>
                <w:sz w:val="22"/>
              </w:rPr>
              <w:t>C</w:t>
            </w:r>
            <w:r w:rsidR="002D34E7">
              <w:rPr>
                <w:sz w:val="22"/>
              </w:rPr>
              <w:t>omprehensive</w:t>
            </w:r>
            <w:r w:rsidR="00C5560D">
              <w:rPr>
                <w:sz w:val="22"/>
              </w:rPr>
              <w:t xml:space="preserve"> investigation</w:t>
            </w:r>
            <w:r w:rsidR="002D34E7">
              <w:rPr>
                <w:sz w:val="22"/>
              </w:rPr>
              <w:t xml:space="preserve"> report </w:t>
            </w:r>
            <w:r w:rsidRPr="00C819ED">
              <w:rPr>
                <w:sz w:val="22"/>
              </w:rPr>
              <w:t>including all elements of a credible investigation</w:t>
            </w:r>
          </w:p>
        </w:tc>
        <w:tc>
          <w:tcPr>
            <w:tcW w:w="2410" w:type="dxa"/>
          </w:tcPr>
          <w:p w:rsidR="00CD418E" w:rsidRPr="00B26EB3" w:rsidRDefault="00E8562C" w:rsidP="00C5560D">
            <w:pPr>
              <w:rPr>
                <w:sz w:val="22"/>
              </w:rPr>
            </w:pPr>
            <w:r>
              <w:rPr>
                <w:sz w:val="22"/>
              </w:rPr>
              <w:t>The investigator</w:t>
            </w:r>
            <w:r w:rsidR="00C5560D">
              <w:rPr>
                <w:sz w:val="22"/>
              </w:rPr>
              <w:t xml:space="preserve"> and </w:t>
            </w:r>
            <w:r w:rsidR="00C5560D" w:rsidRPr="00C7219E">
              <w:rPr>
                <w:b/>
                <w:sz w:val="22"/>
              </w:rPr>
              <w:t>all</w:t>
            </w:r>
            <w:r w:rsidR="00C5560D">
              <w:rPr>
                <w:sz w:val="22"/>
              </w:rPr>
              <w:t xml:space="preserve"> members of the investigation team must</w:t>
            </w:r>
            <w:r w:rsidR="00297B2D" w:rsidRPr="00B26EB3">
              <w:rPr>
                <w:sz w:val="22"/>
              </w:rPr>
              <w:t xml:space="preserve"> be independent of the provider. To fulfil </w:t>
            </w:r>
            <w:r w:rsidR="0008040F" w:rsidRPr="00B26EB3">
              <w:rPr>
                <w:sz w:val="22"/>
              </w:rPr>
              <w:t xml:space="preserve">independency </w:t>
            </w:r>
            <w:r w:rsidR="00297B2D" w:rsidRPr="00B26EB3">
              <w:rPr>
                <w:sz w:val="22"/>
              </w:rPr>
              <w:t>the investigation must be commissioned and undertaken entirely independently of the organisation whose actions and processes are being investigated</w:t>
            </w:r>
            <w:r w:rsidR="00C5560D">
              <w:rPr>
                <w:sz w:val="22"/>
              </w:rPr>
              <w:t>.</w:t>
            </w:r>
          </w:p>
        </w:tc>
        <w:tc>
          <w:tcPr>
            <w:tcW w:w="2126" w:type="dxa"/>
          </w:tcPr>
          <w:p w:rsidR="00CD418E" w:rsidRPr="00F20F68" w:rsidRDefault="0008040F" w:rsidP="003A18AB">
            <w:pPr>
              <w:rPr>
                <w:sz w:val="22"/>
              </w:rPr>
            </w:pPr>
            <w:r w:rsidRPr="00F20F68">
              <w:rPr>
                <w:sz w:val="22"/>
              </w:rPr>
              <w:t>6 months from the date the investigation is commissioned</w:t>
            </w:r>
          </w:p>
        </w:tc>
      </w:tr>
      <w:tr w:rsidR="00C819ED" w:rsidTr="00C503C3">
        <w:tc>
          <w:tcPr>
            <w:tcW w:w="10774" w:type="dxa"/>
            <w:gridSpan w:val="5"/>
            <w:shd w:val="clear" w:color="auto" w:fill="43AEFF" w:themeFill="accent1" w:themeFillTint="99"/>
          </w:tcPr>
          <w:p w:rsidR="00C819ED" w:rsidRPr="00F20F68" w:rsidRDefault="00C819ED" w:rsidP="008413C8">
            <w:pPr>
              <w:jc w:val="center"/>
              <w:rPr>
                <w:sz w:val="22"/>
              </w:rPr>
            </w:pPr>
            <w:r w:rsidRPr="00F20F68">
              <w:rPr>
                <w:sz w:val="20"/>
              </w:rPr>
              <w:t>National reporting templates should be used unless</w:t>
            </w:r>
            <w:r w:rsidR="009F7130" w:rsidRPr="00F20F68">
              <w:rPr>
                <w:sz w:val="20"/>
              </w:rPr>
              <w:t xml:space="preserve"> </w:t>
            </w:r>
            <w:r w:rsidRPr="00F20F68">
              <w:rPr>
                <w:sz w:val="20"/>
              </w:rPr>
              <w:t>agree</w:t>
            </w:r>
            <w:r w:rsidR="009F7130" w:rsidRPr="00F20F68">
              <w:rPr>
                <w:sz w:val="20"/>
              </w:rPr>
              <w:t>d</w:t>
            </w:r>
            <w:r w:rsidRPr="00F20F68">
              <w:rPr>
                <w:sz w:val="20"/>
              </w:rPr>
              <w:t xml:space="preserve"> that adaptions </w:t>
            </w:r>
            <w:r w:rsidR="009F7130" w:rsidRPr="00F20F68">
              <w:rPr>
                <w:sz w:val="20"/>
              </w:rPr>
              <w:t xml:space="preserve">are required. National templates will be reviewed on a continuous basis. Recommendations to inform </w:t>
            </w:r>
            <w:r w:rsidR="009F7130" w:rsidRPr="00D131ED">
              <w:rPr>
                <w:sz w:val="20"/>
              </w:rPr>
              <w:t xml:space="preserve">changes </w:t>
            </w:r>
            <w:r w:rsidR="009F7130" w:rsidRPr="00CE4F84">
              <w:rPr>
                <w:sz w:val="20"/>
              </w:rPr>
              <w:t>should be sent to</w:t>
            </w:r>
            <w:r w:rsidR="001D1CE4">
              <w:rPr>
                <w:sz w:val="20"/>
              </w:rPr>
              <w:t xml:space="preserve"> </w:t>
            </w:r>
            <w:r w:rsidR="00D131ED" w:rsidRPr="00D131ED">
              <w:rPr>
                <w:sz w:val="20"/>
              </w:rPr>
              <w:t>england.RCAinvestigation@nhs.net</w:t>
            </w:r>
          </w:p>
        </w:tc>
      </w:tr>
    </w:tbl>
    <w:p w:rsidR="001D6253" w:rsidRDefault="001D6253" w:rsidP="003A18AB"/>
    <w:p w:rsidR="002D3305" w:rsidRPr="002D3305" w:rsidRDefault="005D2131" w:rsidP="002D3305">
      <w:pPr>
        <w:pStyle w:val="Heading2"/>
        <w:numPr>
          <w:ilvl w:val="1"/>
          <w:numId w:val="8"/>
        </w:numPr>
      </w:pPr>
      <w:bookmarkStart w:id="53" w:name="_Toc414568065"/>
      <w:r>
        <w:t>Final report and action plan</w:t>
      </w:r>
      <w:bookmarkEnd w:id="53"/>
    </w:p>
    <w:p w:rsidR="002D3305" w:rsidRDefault="00FE3577" w:rsidP="008413C8">
      <w:r>
        <w:t xml:space="preserve">Serious </w:t>
      </w:r>
      <w:r w:rsidR="00E8539B">
        <w:t>i</w:t>
      </w:r>
      <w:r>
        <w:t>nci</w:t>
      </w:r>
      <w:r w:rsidR="00082FE3">
        <w:t xml:space="preserve">dent </w:t>
      </w:r>
      <w:r w:rsidR="00E8539B">
        <w:t>i</w:t>
      </w:r>
      <w:r w:rsidR="00082FE3">
        <w:t xml:space="preserve">nvestigation reports </w:t>
      </w:r>
      <w:r w:rsidR="00645ED1">
        <w:t>must</w:t>
      </w:r>
      <w:r w:rsidR="00E8539B">
        <w:t xml:space="preserve"> be </w:t>
      </w:r>
      <w:r>
        <w:t>shared with key interested bodies including patients, victims and their families. It is recommended that reports</w:t>
      </w:r>
      <w:r w:rsidRPr="00335DAC">
        <w:t xml:space="preserve"> </w:t>
      </w:r>
      <w:r>
        <w:t>are</w:t>
      </w:r>
      <w:r w:rsidRPr="00335DAC">
        <w:t xml:space="preserve"> drafted on the basis that they may become public, so issues concerning anonymity and consent </w:t>
      </w:r>
      <w:r>
        <w:t xml:space="preserve">for disclosure of personal information </w:t>
      </w:r>
      <w:r w:rsidRPr="00335DAC">
        <w:t xml:space="preserve">are important </w:t>
      </w:r>
      <w:r>
        <w:t xml:space="preserve">and should be considered at an early stage in the investigation process. </w:t>
      </w:r>
      <w:r w:rsidRPr="00FE3577">
        <w:t>Each NHS organisation has a Caldicott Guardian</w:t>
      </w:r>
      <w:r w:rsidR="00524900">
        <w:t xml:space="preserve"> who is</w:t>
      </w:r>
      <w:r w:rsidRPr="00FE3577">
        <w:t xml:space="preserve"> r</w:t>
      </w:r>
      <w:r w:rsidR="00645ED1">
        <w:t xml:space="preserve">esponsible for protecting the confidentiality of </w:t>
      </w:r>
      <w:r w:rsidR="00645ED1" w:rsidRPr="00FE3577">
        <w:t>patient and service</w:t>
      </w:r>
      <w:r w:rsidRPr="00FE3577">
        <w:t>-</w:t>
      </w:r>
      <w:r w:rsidR="00645ED1" w:rsidRPr="00FE3577">
        <w:t>user information and enabling appropriate</w:t>
      </w:r>
      <w:r w:rsidRPr="00FE3577">
        <w:t xml:space="preserve"> information-sharing. </w:t>
      </w:r>
      <w:r w:rsidR="00524900">
        <w:t>Those investigating serious incidents can seek advice from</w:t>
      </w:r>
      <w:r w:rsidRPr="00FE3577">
        <w:t xml:space="preserve"> the Caldicott Guardian if guidance is needed about the disclosure of patient identifiable information.</w:t>
      </w:r>
    </w:p>
    <w:p w:rsidR="002938D0" w:rsidRPr="002938D0" w:rsidRDefault="002938D0" w:rsidP="002938D0"/>
    <w:p w:rsidR="00551D1D" w:rsidRDefault="00551D1D" w:rsidP="002F11B3">
      <w:pPr>
        <w:pStyle w:val="Heading3"/>
        <w:numPr>
          <w:ilvl w:val="2"/>
          <w:numId w:val="8"/>
        </w:numPr>
      </w:pPr>
      <w:bookmarkStart w:id="54" w:name="_Toc414568066"/>
      <w:r>
        <w:t>Final report</w:t>
      </w:r>
      <w:bookmarkEnd w:id="54"/>
    </w:p>
    <w:p w:rsidR="002A7851" w:rsidRDefault="002A7851" w:rsidP="002A7851">
      <w:r>
        <w:t xml:space="preserve">The investigation concludes with an investigation report and action plan. This needs to be written as soon as possible and in a way that is accessible and understandable to all readers. </w:t>
      </w:r>
    </w:p>
    <w:p w:rsidR="002A7851" w:rsidRDefault="002A7851" w:rsidP="002A7851"/>
    <w:p w:rsidR="002A7851" w:rsidRDefault="002A7851" w:rsidP="002A7851">
      <w:r>
        <w:t>The report should:</w:t>
      </w:r>
    </w:p>
    <w:p w:rsidR="002A7851" w:rsidRDefault="002A7851" w:rsidP="002A7851"/>
    <w:p w:rsidR="002A7851" w:rsidRDefault="00E17B0C" w:rsidP="0072371B">
      <w:pPr>
        <w:pStyle w:val="ListParagraph"/>
        <w:numPr>
          <w:ilvl w:val="0"/>
          <w:numId w:val="22"/>
        </w:numPr>
      </w:pPr>
      <w:r>
        <w:t>B</w:t>
      </w:r>
      <w:r w:rsidR="002A7851">
        <w:t xml:space="preserve">e simple and easy to read; </w:t>
      </w:r>
    </w:p>
    <w:p w:rsidR="002A7851" w:rsidRDefault="00E17B0C" w:rsidP="0072371B">
      <w:pPr>
        <w:pStyle w:val="ListParagraph"/>
        <w:numPr>
          <w:ilvl w:val="0"/>
          <w:numId w:val="22"/>
        </w:numPr>
      </w:pPr>
      <w:r>
        <w:t>H</w:t>
      </w:r>
      <w:r w:rsidR="002A7851">
        <w:t xml:space="preserve">ave an executive summary, index and contents page and clear headings; </w:t>
      </w:r>
    </w:p>
    <w:p w:rsidR="002A7851" w:rsidRDefault="002A7851" w:rsidP="0072371B">
      <w:pPr>
        <w:pStyle w:val="ListParagraph"/>
        <w:numPr>
          <w:ilvl w:val="0"/>
          <w:numId w:val="22"/>
        </w:numPr>
      </w:pPr>
      <w:r>
        <w:t xml:space="preserve">include the title of the document and state whether it is a draft or the final version; </w:t>
      </w:r>
    </w:p>
    <w:p w:rsidR="002A7851" w:rsidRDefault="00E17B0C" w:rsidP="0072371B">
      <w:pPr>
        <w:pStyle w:val="ListParagraph"/>
        <w:numPr>
          <w:ilvl w:val="0"/>
          <w:numId w:val="21"/>
        </w:numPr>
      </w:pPr>
      <w:r>
        <w:t>I</w:t>
      </w:r>
      <w:r w:rsidR="002A7851">
        <w:t>nclude the version date, reference initials, document name, computer file path and page number in the footer;</w:t>
      </w:r>
    </w:p>
    <w:p w:rsidR="002E21A9" w:rsidRDefault="00E17B0C" w:rsidP="0072371B">
      <w:pPr>
        <w:pStyle w:val="ListParagraph"/>
        <w:numPr>
          <w:ilvl w:val="0"/>
          <w:numId w:val="21"/>
        </w:numPr>
      </w:pPr>
      <w:r>
        <w:t>D</w:t>
      </w:r>
      <w:r w:rsidR="00187E48" w:rsidRPr="00187E48">
        <w:t>isclose</w:t>
      </w:r>
      <w:r w:rsidR="00A04B81">
        <w:t xml:space="preserve"> only</w:t>
      </w:r>
      <w:r w:rsidR="00187E48" w:rsidRPr="00187E48">
        <w:t xml:space="preserve"> </w:t>
      </w:r>
      <w:r w:rsidR="00187E48" w:rsidRPr="009D5416">
        <w:t>relevant</w:t>
      </w:r>
      <w:r w:rsidR="00187E48" w:rsidRPr="00187E48">
        <w:t xml:space="preserve"> confidential personal information for which consent has been obtained</w:t>
      </w:r>
      <w:r w:rsidR="00A04B81">
        <w:t xml:space="preserve">, or if </w:t>
      </w:r>
      <w:r w:rsidR="00187E48" w:rsidRPr="00187E48">
        <w:t>patient confidentiality</w:t>
      </w:r>
      <w:r w:rsidR="00A04B81">
        <w:t xml:space="preserve"> should</w:t>
      </w:r>
      <w:r w:rsidR="00187E48" w:rsidRPr="00187E48">
        <w:t xml:space="preserve"> be over</w:t>
      </w:r>
      <w:r w:rsidR="00645ED1">
        <w:t>ridden in the public interest.</w:t>
      </w:r>
      <w:r w:rsidR="00831E98">
        <w:t xml:space="preserve"> </w:t>
      </w:r>
      <w:r w:rsidR="00187E48" w:rsidRPr="00187E48">
        <w:t>This should however be considered by the Caldicott Guardian and where required confirmed by legal</w:t>
      </w:r>
      <w:r w:rsidR="002F7460">
        <w:t xml:space="preserve"> advice</w:t>
      </w:r>
      <w:r w:rsidR="00A04B81">
        <w:rPr>
          <w:rStyle w:val="FootnoteReference"/>
        </w:rPr>
        <w:footnoteReference w:id="45"/>
      </w:r>
      <w:r w:rsidR="002A7851">
        <w:t xml:space="preserve">; </w:t>
      </w:r>
    </w:p>
    <w:p w:rsidR="008D3C4A" w:rsidRDefault="00E17B0C" w:rsidP="0072371B">
      <w:pPr>
        <w:pStyle w:val="ListParagraph"/>
        <w:numPr>
          <w:ilvl w:val="0"/>
          <w:numId w:val="21"/>
        </w:numPr>
      </w:pPr>
      <w:r>
        <w:t>I</w:t>
      </w:r>
      <w:r w:rsidR="002A7851">
        <w:t xml:space="preserve">nclude evidence </w:t>
      </w:r>
      <w:r w:rsidR="00E8539B">
        <w:t xml:space="preserve">and details </w:t>
      </w:r>
      <w:r w:rsidR="002A7851">
        <w:t>of the methodology used for</w:t>
      </w:r>
      <w:r>
        <w:t xml:space="preserve"> an</w:t>
      </w:r>
      <w:r w:rsidR="002A7851">
        <w:t xml:space="preserve"> investigation</w:t>
      </w:r>
      <w:r w:rsidR="00DC0132">
        <w:t xml:space="preserve"> </w:t>
      </w:r>
      <w:r w:rsidR="002A7851">
        <w:t>(</w:t>
      </w:r>
      <w:r w:rsidR="00E8539B">
        <w:t xml:space="preserve">for example </w:t>
      </w:r>
      <w:r w:rsidR="002A7851">
        <w:t xml:space="preserve">timelines/cause and effect charts, brainstorming/brain writing, nominal group technique, use of a contributory factor </w:t>
      </w:r>
      <w:r w:rsidR="005A7486">
        <w:t>Framework</w:t>
      </w:r>
      <w:r w:rsidR="002A7851">
        <w:t xml:space="preserve"> and fishbone diagrams, five whys and barrier analysis); </w:t>
      </w:r>
    </w:p>
    <w:p w:rsidR="002A7851" w:rsidRDefault="00E17B0C" w:rsidP="0072371B">
      <w:pPr>
        <w:pStyle w:val="ListParagraph"/>
        <w:numPr>
          <w:ilvl w:val="0"/>
          <w:numId w:val="21"/>
        </w:numPr>
      </w:pPr>
      <w:r>
        <w:t>I</w:t>
      </w:r>
      <w:r w:rsidR="002A7851">
        <w:t xml:space="preserve">dentify root causes and recommendations; </w:t>
      </w:r>
    </w:p>
    <w:p w:rsidR="002A7851" w:rsidRDefault="00E17B0C" w:rsidP="0072371B">
      <w:pPr>
        <w:pStyle w:val="ListParagraph"/>
        <w:numPr>
          <w:ilvl w:val="0"/>
          <w:numId w:val="21"/>
        </w:numPr>
      </w:pPr>
      <w:r>
        <w:t>E</w:t>
      </w:r>
      <w:r w:rsidR="002A7851">
        <w:t>nsure that conclusions are evidenced and reasoned, and that</w:t>
      </w:r>
      <w:r w:rsidR="00E8539B">
        <w:t xml:space="preserve"> </w:t>
      </w:r>
      <w:r w:rsidR="002A7851">
        <w:t xml:space="preserve"> recommendations are implementable</w:t>
      </w:r>
      <w:r w:rsidR="00DC0132">
        <w:t xml:space="preserve"> (see section </w:t>
      </w:r>
      <w:r w:rsidR="009F7130">
        <w:t>4</w:t>
      </w:r>
      <w:r w:rsidR="00DC0132">
        <w:t>.4.2. below)</w:t>
      </w:r>
      <w:r w:rsidR="002A7851">
        <w:t>;</w:t>
      </w:r>
    </w:p>
    <w:p w:rsidR="002A7851" w:rsidRDefault="00E17B0C" w:rsidP="0072371B">
      <w:pPr>
        <w:pStyle w:val="ListParagraph"/>
        <w:numPr>
          <w:ilvl w:val="0"/>
          <w:numId w:val="21"/>
        </w:numPr>
      </w:pPr>
      <w:r>
        <w:t>I</w:t>
      </w:r>
      <w:r w:rsidR="002A7851">
        <w:t xml:space="preserve">nclude a description of how patients/victims and families have been engaged in the process; </w:t>
      </w:r>
    </w:p>
    <w:p w:rsidR="002A7851" w:rsidRDefault="00E17B0C" w:rsidP="0072371B">
      <w:pPr>
        <w:pStyle w:val="ListParagraph"/>
        <w:numPr>
          <w:ilvl w:val="0"/>
          <w:numId w:val="21"/>
        </w:numPr>
      </w:pPr>
      <w:r>
        <w:t>I</w:t>
      </w:r>
      <w:r w:rsidR="002A7851">
        <w:t>nclude a description of the support provided to patients/victims/families and staff following the incident.</w:t>
      </w:r>
    </w:p>
    <w:p w:rsidR="002A7851" w:rsidRDefault="002A7851" w:rsidP="002A7851"/>
    <w:p w:rsidR="00551D1D" w:rsidRDefault="009F7130" w:rsidP="002A7851">
      <w:r>
        <w:lastRenderedPageBreak/>
        <w:t>NHS England recommends use of n</w:t>
      </w:r>
      <w:r w:rsidR="002A7851">
        <w:t>ational report</w:t>
      </w:r>
      <w:r w:rsidR="00E310E5">
        <w:t>ing</w:t>
      </w:r>
      <w:r>
        <w:t xml:space="preserve"> templates,</w:t>
      </w:r>
      <w:r w:rsidR="00E310E5">
        <w:t xml:space="preserve"> available online: </w:t>
      </w:r>
      <w:r w:rsidR="002A7851">
        <w:t xml:space="preserve"> </w:t>
      </w:r>
      <w:hyperlink r:id="rId27" w:history="1">
        <w:r w:rsidR="002A7851" w:rsidRPr="00553458">
          <w:rPr>
            <w:rStyle w:val="Hyperlink"/>
          </w:rPr>
          <w:t>http://www.nrls.npsa.nhs.uk/resources/collections/root-cause-analysis/</w:t>
        </w:r>
      </w:hyperlink>
      <w:r w:rsidR="002A7851">
        <w:t xml:space="preserve"> </w:t>
      </w:r>
      <w:r>
        <w:t xml:space="preserve">. National templates should be used unless </w:t>
      </w:r>
      <w:r w:rsidR="00F20F68">
        <w:t xml:space="preserve">agreed </w:t>
      </w:r>
      <w:r>
        <w:t>adaptions are required</w:t>
      </w:r>
      <w:r>
        <w:rPr>
          <w:rStyle w:val="FootnoteReference"/>
        </w:rPr>
        <w:footnoteReference w:id="46"/>
      </w:r>
      <w:r>
        <w:t xml:space="preserve">. </w:t>
      </w:r>
    </w:p>
    <w:p w:rsidR="00551D1D" w:rsidRDefault="00551D1D" w:rsidP="00551D1D"/>
    <w:p w:rsidR="00551D1D" w:rsidRDefault="00551D1D" w:rsidP="002F11B3">
      <w:pPr>
        <w:pStyle w:val="Heading3"/>
        <w:numPr>
          <w:ilvl w:val="2"/>
          <w:numId w:val="8"/>
        </w:numPr>
      </w:pPr>
      <w:bookmarkStart w:id="55" w:name="_Toc414568067"/>
      <w:r>
        <w:t>Action plan</w:t>
      </w:r>
      <w:bookmarkEnd w:id="55"/>
    </w:p>
    <w:p w:rsidR="00551D1D" w:rsidRDefault="00551D1D" w:rsidP="00551D1D">
      <w:r>
        <w:t>NHS England recommends use of the NPSA Action Pla</w:t>
      </w:r>
      <w:r w:rsidR="00E310E5">
        <w:t xml:space="preserve">n template available online: </w:t>
      </w:r>
      <w:hyperlink r:id="rId28" w:history="1">
        <w:r w:rsidR="00E310E5" w:rsidRPr="00553458">
          <w:rPr>
            <w:rStyle w:val="Hyperlink"/>
          </w:rPr>
          <w:t>http://www.nrls.npsa.nhs.uk/resources/collections/root-cause-analysis/</w:t>
        </w:r>
      </w:hyperlink>
      <w:r w:rsidR="00E310E5">
        <w:t xml:space="preserve"> </w:t>
      </w:r>
    </w:p>
    <w:p w:rsidR="00E310E5" w:rsidRDefault="00E310E5" w:rsidP="00551D1D"/>
    <w:p w:rsidR="00551D1D" w:rsidRDefault="00E310E5" w:rsidP="00551D1D">
      <w:r>
        <w:t>T</w:t>
      </w:r>
      <w:r w:rsidR="00551D1D">
        <w:t>he minimum requirements for an action plan</w:t>
      </w:r>
      <w:r>
        <w:t xml:space="preserve"> include</w:t>
      </w:r>
      <w:r w:rsidR="00E8539B">
        <w:t xml:space="preserve"> the following</w:t>
      </w:r>
      <w:r w:rsidR="00551D1D">
        <w:t>:</w:t>
      </w:r>
    </w:p>
    <w:p w:rsidR="00551D1D" w:rsidRPr="009C1A45" w:rsidRDefault="00551D1D" w:rsidP="00551D1D">
      <w:pPr>
        <w:rPr>
          <w:sz w:val="12"/>
          <w:szCs w:val="12"/>
        </w:rPr>
      </w:pPr>
    </w:p>
    <w:p w:rsidR="00175FCE" w:rsidRDefault="00175FCE" w:rsidP="0072371B">
      <w:pPr>
        <w:pStyle w:val="ListParagraph"/>
        <w:numPr>
          <w:ilvl w:val="0"/>
          <w:numId w:val="19"/>
        </w:numPr>
      </w:pPr>
      <w:r w:rsidRPr="00175FCE">
        <w:t xml:space="preserve">Action plans must be formulated by </w:t>
      </w:r>
      <w:r>
        <w:t>those</w:t>
      </w:r>
      <w:r w:rsidRPr="00175FCE">
        <w:t xml:space="preserve"> who have responsibility for implementation</w:t>
      </w:r>
      <w:r w:rsidR="00E310E5">
        <w:t>,</w:t>
      </w:r>
      <w:r>
        <w:t xml:space="preserve"> delivery</w:t>
      </w:r>
      <w:r w:rsidR="00E310E5">
        <w:t xml:space="preserve"> and </w:t>
      </w:r>
      <w:r w:rsidR="00E8539B">
        <w:t xml:space="preserve">financial aspects of any actions </w:t>
      </w:r>
      <w:r>
        <w:t>(</w:t>
      </w:r>
      <w:r w:rsidRPr="00175FCE">
        <w:t>not an investigator who has nothing to do with the service</w:t>
      </w:r>
      <w:r>
        <w:t xml:space="preserve"> although clearly their recommendation</w:t>
      </w:r>
      <w:r w:rsidR="00E8539B">
        <w:t>s</w:t>
      </w:r>
      <w:r>
        <w:t xml:space="preserve"> must inform the action plan)</w:t>
      </w:r>
      <w:r w:rsidR="00E17B0C">
        <w:t>;</w:t>
      </w:r>
    </w:p>
    <w:p w:rsidR="00551D1D" w:rsidRDefault="00551D1D" w:rsidP="0072371B">
      <w:pPr>
        <w:pStyle w:val="ListParagraph"/>
        <w:numPr>
          <w:ilvl w:val="0"/>
          <w:numId w:val="19"/>
        </w:numPr>
      </w:pPr>
      <w:r>
        <w:t>Every recommendation must have a clearly articulated action that follows logically from the findings of the investigation</w:t>
      </w:r>
      <w:r w:rsidR="00E17B0C">
        <w:t>;</w:t>
      </w:r>
    </w:p>
    <w:p w:rsidR="00551D1D" w:rsidRDefault="00551D1D" w:rsidP="0072371B">
      <w:pPr>
        <w:pStyle w:val="ListParagraph"/>
        <w:numPr>
          <w:ilvl w:val="0"/>
          <w:numId w:val="19"/>
        </w:numPr>
      </w:pPr>
      <w:r>
        <w:t xml:space="preserve">Actions should be designed and targeted to significantly reduce the risk of recurrence of the incident. </w:t>
      </w:r>
      <w:r w:rsidR="00175FCE">
        <w:t>It</w:t>
      </w:r>
      <w:r>
        <w:t xml:space="preserve"> must target the weaknesses in the system (i.e. the ‘root causes’ /most significant influencing factors) which result</w:t>
      </w:r>
      <w:r w:rsidR="00175FCE">
        <w:t>ed</w:t>
      </w:r>
      <w:r>
        <w:t xml:space="preserve"> in the lapses</w:t>
      </w:r>
      <w:r w:rsidR="00175FCE">
        <w:t>/acts/omissions</w:t>
      </w:r>
      <w:r>
        <w:t xml:space="preserve"> in </w:t>
      </w:r>
      <w:r w:rsidR="00175FCE">
        <w:t xml:space="preserve">care and treatment identified </w:t>
      </w:r>
      <w:r w:rsidR="008D092E">
        <w:t xml:space="preserve">as </w:t>
      </w:r>
      <w:r w:rsidR="00175FCE">
        <w:t>causing or contributing towards t</w:t>
      </w:r>
      <w:r w:rsidR="00E17B0C">
        <w:t>he</w:t>
      </w:r>
      <w:r w:rsidR="00175FCE">
        <w:t xml:space="preserve"> incident</w:t>
      </w:r>
      <w:r w:rsidR="00E17B0C">
        <w:t>;</w:t>
      </w:r>
    </w:p>
    <w:p w:rsidR="00551D1D" w:rsidRDefault="00551D1D" w:rsidP="0072371B">
      <w:pPr>
        <w:pStyle w:val="ListParagraph"/>
        <w:numPr>
          <w:ilvl w:val="0"/>
          <w:numId w:val="19"/>
        </w:numPr>
      </w:pPr>
      <w:r>
        <w:t>A responsible person (job title only) must be identified for implementation of each action point</w:t>
      </w:r>
      <w:r w:rsidR="00E17B0C">
        <w:t>;</w:t>
      </w:r>
    </w:p>
    <w:p w:rsidR="00551D1D" w:rsidRDefault="00551D1D" w:rsidP="0072371B">
      <w:pPr>
        <w:pStyle w:val="ListParagraph"/>
        <w:numPr>
          <w:ilvl w:val="0"/>
          <w:numId w:val="19"/>
        </w:numPr>
      </w:pPr>
      <w:r>
        <w:t>There are clear deadlines for completion of actions</w:t>
      </w:r>
      <w:r w:rsidR="00E17B0C">
        <w:t>;</w:t>
      </w:r>
    </w:p>
    <w:p w:rsidR="00551D1D" w:rsidRDefault="00551D1D" w:rsidP="0072371B">
      <w:pPr>
        <w:pStyle w:val="ListParagraph"/>
        <w:numPr>
          <w:ilvl w:val="0"/>
          <w:numId w:val="19"/>
        </w:numPr>
      </w:pPr>
      <w:r>
        <w:t>There must be a description of the form of evidence that will be available to confirm completion and also to demonstrate the impact implement</w:t>
      </w:r>
      <w:r w:rsidR="00FF6A70">
        <w:t>ation</w:t>
      </w:r>
      <w:r>
        <w:t xml:space="preserve"> has had on reducing the risk of recurrence</w:t>
      </w:r>
      <w:r w:rsidR="00E17B0C">
        <w:t>;</w:t>
      </w:r>
    </w:p>
    <w:p w:rsidR="00175FCE" w:rsidRDefault="00175FCE" w:rsidP="00551D1D"/>
    <w:p w:rsidR="0008040F" w:rsidRDefault="00551D1D" w:rsidP="00551D1D">
      <w:r>
        <w:t>A SMART approach to action planning is essential. That is, the actions should be: Specific, Measurable, Attainable, Relevant and Time-bound</w:t>
      </w:r>
      <w:r w:rsidR="008D092E">
        <w:t>. To ensure that the most effective actions</w:t>
      </w:r>
      <w:r w:rsidR="00141B87">
        <w:t>/solutions</w:t>
      </w:r>
      <w:r w:rsidR="008D092E">
        <w:t xml:space="preserve"> are taken forward, it is recommended that an option appraisal of th</w:t>
      </w:r>
      <w:r w:rsidR="00141B87">
        <w:t>e potential actions/solutions is</w:t>
      </w:r>
      <w:r w:rsidR="008D092E">
        <w:t xml:space="preserve"> undertaken before the final action plan is developed</w:t>
      </w:r>
      <w:r w:rsidR="00141B87">
        <w:t xml:space="preserve"> and agreed</w:t>
      </w:r>
      <w:r w:rsidR="00831E98">
        <w:t xml:space="preserve"> </w:t>
      </w:r>
      <w:r w:rsidR="001C2A5F">
        <w:rPr>
          <w:vertAlign w:val="superscript"/>
        </w:rPr>
        <w:t>viii</w:t>
      </w:r>
      <w:r w:rsidR="008D092E">
        <w:t>.</w:t>
      </w:r>
    </w:p>
    <w:p w:rsidR="00551D1D" w:rsidRPr="0008040F" w:rsidRDefault="00551D1D" w:rsidP="0008040F"/>
    <w:p w:rsidR="005D2131" w:rsidRDefault="009E0BE4" w:rsidP="002F11B3">
      <w:pPr>
        <w:pStyle w:val="Heading2"/>
        <w:numPr>
          <w:ilvl w:val="1"/>
          <w:numId w:val="8"/>
        </w:numPr>
      </w:pPr>
      <w:bookmarkStart w:id="56" w:name="_Toc414568068"/>
      <w:r>
        <w:t xml:space="preserve">Submission of Final Report, </w:t>
      </w:r>
      <w:r w:rsidR="005D2131">
        <w:t>Quality Assurance and Closure</w:t>
      </w:r>
      <w:bookmarkEnd w:id="56"/>
    </w:p>
    <w:p w:rsidR="009E0BE4" w:rsidRDefault="009E0BE4" w:rsidP="002F11B3">
      <w:pPr>
        <w:pStyle w:val="Heading3"/>
        <w:numPr>
          <w:ilvl w:val="2"/>
          <w:numId w:val="8"/>
        </w:numPr>
      </w:pPr>
      <w:bookmarkStart w:id="57" w:name="_Toc414568069"/>
      <w:r>
        <w:t>Submission of Final Report</w:t>
      </w:r>
      <w:bookmarkEnd w:id="57"/>
    </w:p>
    <w:p w:rsidR="003A74ED" w:rsidRDefault="003A74ED" w:rsidP="008413C8">
      <w:r>
        <w:t xml:space="preserve">Serious </w:t>
      </w:r>
      <w:r w:rsidR="00FF6A70">
        <w:t>i</w:t>
      </w:r>
      <w:r>
        <w:t xml:space="preserve">ncident reports and action plans must be submitted to the relevant commissioner within </w:t>
      </w:r>
      <w:r w:rsidRPr="00F740FD">
        <w:t>60</w:t>
      </w:r>
      <w:r w:rsidR="00141B87" w:rsidRPr="00F740FD">
        <w:t xml:space="preserve"> working</w:t>
      </w:r>
      <w:r w:rsidRPr="00F740FD">
        <w:t xml:space="preserve"> days</w:t>
      </w:r>
      <w:r>
        <w:t xml:space="preserve"> of the incident being reported to the relevant commissioner, unless an independent investigation is required, in which case the deadline is 6 months from the date the investigation commenced. </w:t>
      </w:r>
    </w:p>
    <w:p w:rsidR="003A74ED" w:rsidRDefault="003A74ED" w:rsidP="003A74ED"/>
    <w:p w:rsidR="003A74ED" w:rsidRDefault="003A74ED" w:rsidP="003A74ED">
      <w:r>
        <w:t xml:space="preserve">In certain circumstances, </w:t>
      </w:r>
      <w:r w:rsidR="00E17B0C">
        <w:t>T</w:t>
      </w:r>
      <w:r>
        <w:t>rusts may find it difficult to complete a final report within these timescales. This might be due to:</w:t>
      </w:r>
    </w:p>
    <w:p w:rsidR="003A74ED" w:rsidRDefault="003A74ED" w:rsidP="003A74ED"/>
    <w:p w:rsidR="003A74ED" w:rsidRDefault="00E17B0C" w:rsidP="0072371B">
      <w:pPr>
        <w:pStyle w:val="ListParagraph"/>
        <w:numPr>
          <w:ilvl w:val="0"/>
          <w:numId w:val="20"/>
        </w:numPr>
      </w:pPr>
      <w:r>
        <w:lastRenderedPageBreak/>
        <w:t>E</w:t>
      </w:r>
      <w:r w:rsidR="003A74ED">
        <w:t>nforced compliance with the timetable of an external agency, such as</w:t>
      </w:r>
      <w:r w:rsidR="00286500">
        <w:t xml:space="preserve"> police,</w:t>
      </w:r>
      <w:r w:rsidR="003A74ED">
        <w:t xml:space="preserve">  Coroner, Health and Safety Executive or Local Children Safeguarding Board or Safeguarding </w:t>
      </w:r>
      <w:r>
        <w:t>A</w:t>
      </w:r>
      <w:r w:rsidR="003A74ED">
        <w:t xml:space="preserve">dult </w:t>
      </w:r>
      <w:r>
        <w:t>B</w:t>
      </w:r>
      <w:r w:rsidR="003A74ED">
        <w:t>oard</w:t>
      </w:r>
      <w:r w:rsidR="00FF6A70">
        <w:t>;</w:t>
      </w:r>
    </w:p>
    <w:p w:rsidR="003A74ED" w:rsidRDefault="00E17B0C" w:rsidP="0072371B">
      <w:pPr>
        <w:pStyle w:val="ListParagraph"/>
        <w:numPr>
          <w:ilvl w:val="0"/>
          <w:numId w:val="20"/>
        </w:numPr>
      </w:pPr>
      <w:r>
        <w:t>I</w:t>
      </w:r>
      <w:r w:rsidR="003A74ED">
        <w:t>nvestigation of highly specialised and multi-organisation incidents, such as those involving a national screening programmes</w:t>
      </w:r>
      <w:r w:rsidR="00FF6A70">
        <w:t>; or</w:t>
      </w:r>
    </w:p>
    <w:p w:rsidR="003A74ED" w:rsidRDefault="00E17B0C" w:rsidP="0072371B">
      <w:pPr>
        <w:pStyle w:val="ListParagraph"/>
        <w:numPr>
          <w:ilvl w:val="0"/>
          <w:numId w:val="20"/>
        </w:numPr>
      </w:pPr>
      <w:r>
        <w:t>I</w:t>
      </w:r>
      <w:r w:rsidR="003A74ED">
        <w:t>ncidents of significant complexity</w:t>
      </w:r>
      <w:r w:rsidR="00FF6A70">
        <w:t>.</w:t>
      </w:r>
    </w:p>
    <w:p w:rsidR="00B659BD" w:rsidRDefault="00B659BD" w:rsidP="00B659BD">
      <w:pPr>
        <w:pStyle w:val="ListParagraph"/>
      </w:pPr>
    </w:p>
    <w:p w:rsidR="00141B87" w:rsidRDefault="003A74ED" w:rsidP="003A74ED">
      <w:r>
        <w:t xml:space="preserve">In such circumstances the commissioner and investigations team </w:t>
      </w:r>
      <w:r w:rsidR="00141B87">
        <w:t>can</w:t>
      </w:r>
      <w:r>
        <w:t xml:space="preserve"> agree an alternative timeframe. This should be clearly recorded within the serious incident management system and included in the serious incident report.</w:t>
      </w:r>
      <w:r w:rsidR="00141B87">
        <w:t xml:space="preserve"> </w:t>
      </w:r>
    </w:p>
    <w:p w:rsidR="00141B87" w:rsidRDefault="00141B87" w:rsidP="003A74ED"/>
    <w:p w:rsidR="003A74ED" w:rsidRDefault="00141B87" w:rsidP="003A74ED">
      <w:r>
        <w:t>As desc</w:t>
      </w:r>
      <w:r w:rsidR="00267312">
        <w:t xml:space="preserve">ribed in </w:t>
      </w:r>
      <w:r w:rsidR="00E17B0C">
        <w:t>P</w:t>
      </w:r>
      <w:r w:rsidR="00267312">
        <w:t xml:space="preserve">art </w:t>
      </w:r>
      <w:r w:rsidR="00E17B0C">
        <w:t>O</w:t>
      </w:r>
      <w:r w:rsidR="00267312">
        <w:t xml:space="preserve">ne; section </w:t>
      </w:r>
      <w:r w:rsidR="00267312" w:rsidRPr="00831E98">
        <w:t>1.5</w:t>
      </w:r>
      <w:r w:rsidR="00E17B0C" w:rsidRPr="00831E98">
        <w:t>,</w:t>
      </w:r>
      <w:r w:rsidR="002E21A9">
        <w:t xml:space="preserve"> there is no automatic bar on investigating incidents where criminal proceeding</w:t>
      </w:r>
      <w:r w:rsidR="00FF6A70">
        <w:t>s</w:t>
      </w:r>
      <w:r w:rsidR="002E21A9">
        <w:t xml:space="preserve"> are underway</w:t>
      </w:r>
      <w:r w:rsidR="00FF6A70">
        <w:t>.</w:t>
      </w:r>
      <w:r>
        <w:t xml:space="preserve"> </w:t>
      </w:r>
      <w:r w:rsidR="00FF6A70">
        <w:t>W</w:t>
      </w:r>
      <w:r w:rsidRPr="00141B87">
        <w:t>herever possible</w:t>
      </w:r>
      <w:r w:rsidR="00FF6A70">
        <w:t>,</w:t>
      </w:r>
      <w:r w:rsidRPr="00141B87">
        <w:t xml:space="preserve"> serious incident </w:t>
      </w:r>
      <w:r w:rsidR="00680E4C">
        <w:t>i</w:t>
      </w:r>
      <w:r w:rsidRPr="00141B87">
        <w:t>nvestigations should continue alongside criminal proceedings</w:t>
      </w:r>
      <w:r w:rsidR="002E21A9">
        <w:t>.</w:t>
      </w:r>
      <w:r w:rsidR="00680E4C">
        <w:t xml:space="preserve"> </w:t>
      </w:r>
      <w:r w:rsidR="002E21A9">
        <w:t>T</w:t>
      </w:r>
      <w:r w:rsidRPr="00141B87">
        <w:t xml:space="preserve">his should be considered in discussion with the police. </w:t>
      </w:r>
      <w:r w:rsidR="00FF6A70">
        <w:t>Following a</w:t>
      </w:r>
      <w:r w:rsidRPr="00141B87">
        <w:t xml:space="preserve"> formal request by </w:t>
      </w:r>
      <w:r w:rsidR="00FF6A70">
        <w:t xml:space="preserve">the </w:t>
      </w:r>
      <w:r w:rsidRPr="00141B87">
        <w:t>police,</w:t>
      </w:r>
      <w:r w:rsidR="00FF6A70">
        <w:t xml:space="preserve"> a</w:t>
      </w:r>
      <w:r w:rsidRPr="00141B87">
        <w:t xml:space="preserve"> coroner or</w:t>
      </w:r>
      <w:r w:rsidR="00FF6A70">
        <w:t xml:space="preserve"> a</w:t>
      </w:r>
      <w:r w:rsidRPr="00141B87">
        <w:t xml:space="preserve"> judge</w:t>
      </w:r>
      <w:r w:rsidR="00FF6A70">
        <w:t>,</w:t>
      </w:r>
      <w:r w:rsidRPr="00141B87">
        <w:t xml:space="preserve"> the investigation may be put on hold</w:t>
      </w:r>
      <w:r w:rsidR="00680E4C">
        <w:t>,</w:t>
      </w:r>
      <w:r w:rsidR="00AF473A">
        <w:t xml:space="preserve"> </w:t>
      </w:r>
      <w:r w:rsidR="00286500">
        <w:t xml:space="preserve">as it may potentially prejudice a criminal investigation and </w:t>
      </w:r>
      <w:r w:rsidR="00680E4C">
        <w:t>subsequent proceedings (if any)</w:t>
      </w:r>
      <w:r w:rsidR="00FF6A70">
        <w:t>.</w:t>
      </w:r>
      <w:r w:rsidR="00AF473A">
        <w:t xml:space="preserve"> </w:t>
      </w:r>
      <w:r w:rsidR="00FF6A70">
        <w:t>W</w:t>
      </w:r>
      <w:r w:rsidR="00AF473A">
        <w:t xml:space="preserve">here this is </w:t>
      </w:r>
      <w:r>
        <w:t>the</w:t>
      </w:r>
      <w:r w:rsidR="00680E4C">
        <w:t xml:space="preserve"> case</w:t>
      </w:r>
      <w:r w:rsidR="00FF6A70">
        <w:t>,</w:t>
      </w:r>
      <w:r>
        <w:t xml:space="preserve"> commissioner</w:t>
      </w:r>
      <w:r w:rsidR="00AF473A">
        <w:t>s</w:t>
      </w:r>
      <w:r>
        <w:t xml:space="preserve"> should review</w:t>
      </w:r>
      <w:r w:rsidR="00AF473A">
        <w:t>/agree the date for completion once</w:t>
      </w:r>
      <w:r>
        <w:t xml:space="preserve"> the investigation can recommence</w:t>
      </w:r>
      <w:r>
        <w:rPr>
          <w:rStyle w:val="FootnoteReference"/>
        </w:rPr>
        <w:footnoteReference w:id="47"/>
      </w:r>
      <w:r>
        <w:t>.</w:t>
      </w:r>
    </w:p>
    <w:p w:rsidR="003A74ED" w:rsidRDefault="003A74ED" w:rsidP="003A74ED"/>
    <w:p w:rsidR="00DA7F7B" w:rsidRDefault="003A74ED" w:rsidP="003A74ED">
      <w:r>
        <w:t>Providers can request extensions to the report submission deadline, but there must be compelling reasons for doing so</w:t>
      </w:r>
      <w:r w:rsidR="00E17B0C">
        <w:t>;</w:t>
      </w:r>
      <w:r>
        <w:t xml:space="preserve"> for example, new information coming to light which requires further investigation. This must be agreed and confirmed by the appropriate commissioner in advance of the original deadline. Extensions are effective from the day on which the serious incident report was due for submission. </w:t>
      </w:r>
    </w:p>
    <w:p w:rsidR="00DA7F7B" w:rsidRDefault="00DA7F7B" w:rsidP="003A74ED"/>
    <w:p w:rsidR="003A74ED" w:rsidRDefault="003A74ED" w:rsidP="003A74ED">
      <w:r>
        <w:t>Clear management plans should be developed at the start of the process to avoid delays. Those involved (including patients, staff, victims and their families/carers where a</w:t>
      </w:r>
      <w:r w:rsidR="00AF473A">
        <w:t>pplicable) must be informed of management plan</w:t>
      </w:r>
      <w:r w:rsidR="00FF6A70">
        <w:t>s</w:t>
      </w:r>
      <w:r>
        <w:t xml:space="preserve"> and any reasons for deviation. </w:t>
      </w:r>
    </w:p>
    <w:p w:rsidR="003A74ED" w:rsidRDefault="003A74ED" w:rsidP="003A74ED"/>
    <w:p w:rsidR="003A74ED" w:rsidRDefault="009E0BE4" w:rsidP="002F11B3">
      <w:pPr>
        <w:pStyle w:val="Heading3"/>
        <w:numPr>
          <w:ilvl w:val="2"/>
          <w:numId w:val="8"/>
        </w:numPr>
      </w:pPr>
      <w:bookmarkStart w:id="58" w:name="_Toc414568070"/>
      <w:r>
        <w:t>Quality Assurance and Closure</w:t>
      </w:r>
      <w:r w:rsidR="009F7130">
        <w:t xml:space="preserve"> of the Investigation</w:t>
      </w:r>
      <w:bookmarkEnd w:id="58"/>
    </w:p>
    <w:p w:rsidR="009E0BE4" w:rsidRDefault="009E0BE4" w:rsidP="009E0BE4">
      <w:r>
        <w:t xml:space="preserve">On receipt of the final investigation report and action plan from the provider, the commissioner </w:t>
      </w:r>
      <w:r w:rsidR="00FF6A70">
        <w:t xml:space="preserve">should </w:t>
      </w:r>
      <w:r>
        <w:t>acknowledge receipt by email.  They will then undert</w:t>
      </w:r>
      <w:r w:rsidR="00DA7F7B">
        <w:t xml:space="preserve">ake a quality assurance review </w:t>
      </w:r>
      <w:r>
        <w:t>of the report within 20</w:t>
      </w:r>
      <w:r w:rsidR="00FF6A70">
        <w:t xml:space="preserve"> calendar</w:t>
      </w:r>
      <w:r>
        <w:t xml:space="preserve"> days. Where necessary an alternative timescale may be agreed. </w:t>
      </w:r>
    </w:p>
    <w:p w:rsidR="00DA7F7B" w:rsidRDefault="00DA7F7B" w:rsidP="009E0BE4"/>
    <w:p w:rsidR="009E0BE4" w:rsidRDefault="009E0BE4" w:rsidP="009E0BE4">
      <w:r>
        <w:t>It may be necessary to involve several commissioning organisation</w:t>
      </w:r>
      <w:r w:rsidR="00492256">
        <w:t>s</w:t>
      </w:r>
      <w:r>
        <w:t xml:space="preserve"> in the quality assurance and sign</w:t>
      </w:r>
      <w:r w:rsidR="00E17B0C">
        <w:t>-</w:t>
      </w:r>
      <w:r>
        <w:t>off process depending on the nature and circumstance of the incident. This should be estab</w:t>
      </w:r>
      <w:r w:rsidR="00267312">
        <w:t>lished when developing the RASCI</w:t>
      </w:r>
      <w:r>
        <w:t xml:space="preserve"> model.</w:t>
      </w:r>
    </w:p>
    <w:p w:rsidR="009E0BE4" w:rsidRDefault="009E0BE4" w:rsidP="009E0BE4">
      <w:r>
        <w:t xml:space="preserve">The relevant Director (or equivalent) within the commissioning organisation responsible for managing oversight of the serious incident must ensure a robust and transparent process is in place for assurance and closure of serious incidents. This must preclude the involvement of members of the investigation team. There may be occasions where commissioners wish to make arrangements for another internal team or a separate commissioning organisation to undertake an additional quality assurance </w:t>
      </w:r>
      <w:r>
        <w:lastRenderedPageBreak/>
        <w:t>review where there is a risk of conflict of</w:t>
      </w:r>
      <w:r w:rsidR="00AF473A">
        <w:t xml:space="preserve"> interest</w:t>
      </w:r>
      <w:r w:rsidR="00E17B0C">
        <w:t>.</w:t>
      </w:r>
      <w:r w:rsidR="002E21A9">
        <w:rPr>
          <w:rStyle w:val="FootnoteReference"/>
        </w:rPr>
        <w:footnoteReference w:id="48"/>
      </w:r>
      <w:r w:rsidR="00AF473A">
        <w:t>This does not remove their</w:t>
      </w:r>
      <w:r>
        <w:t xml:space="preserve"> overall </w:t>
      </w:r>
      <w:r w:rsidR="00AF473A">
        <w:t xml:space="preserve">responsibility </w:t>
      </w:r>
      <w:r>
        <w:t xml:space="preserve">to ensure that the report, action plan and implementation of necessary actions meet the required standard. The serious incident report, closure process and meeting minutes must clearly describe the roles and responsibilities of those involved in the reporting, investigation, oversight and closure of the serious incident to demonstrate good governance and provide a clear audit trail.  </w:t>
      </w:r>
    </w:p>
    <w:p w:rsidR="009E0BE4" w:rsidRDefault="009E0BE4" w:rsidP="009E0BE4"/>
    <w:p w:rsidR="009E0BE4" w:rsidRDefault="009E0BE4" w:rsidP="009E0BE4">
      <w:r>
        <w:t>The commissioner must seek assurance that the report fulfils the required standard for a robust investigation</w:t>
      </w:r>
      <w:r w:rsidR="00267312">
        <w:t xml:space="preserve"> and action plan. See </w:t>
      </w:r>
      <w:r w:rsidR="00E17B0C">
        <w:t>A</w:t>
      </w:r>
      <w:r w:rsidR="00267312">
        <w:t xml:space="preserve">ppendix 8 </w:t>
      </w:r>
      <w:r w:rsidR="00AF473A">
        <w:t>for supporting information.</w:t>
      </w:r>
      <w:r w:rsidR="00D71F9C">
        <w:t xml:space="preserve"> Any concerns or areas requiring further action should be highlighted to the provider at the earliest opportunity to facilitate timely action and resolution of issues raised. </w:t>
      </w:r>
    </w:p>
    <w:p w:rsidR="009E0BE4" w:rsidRDefault="009E0BE4" w:rsidP="009E0BE4"/>
    <w:p w:rsidR="009E0BE4" w:rsidRDefault="009E0BE4" w:rsidP="009E0BE4">
      <w:r>
        <w:t>It may be acceptable to close the incident before all preventative actions have been implemented and reviewed for efficacy. For example where actions are continuous or long term, the commissioner may consider closure once there is evidence that such actions have been initiated. Where this is considered acceptable, robust arrangements should be put in place to ensure implementation is regularly reviewed.</w:t>
      </w:r>
    </w:p>
    <w:p w:rsidR="009E0BE4" w:rsidRDefault="009E0BE4" w:rsidP="009E0BE4"/>
    <w:p w:rsidR="00B659BD" w:rsidRDefault="009E0BE4" w:rsidP="00B71194">
      <w:r>
        <w:t>Cases can be re-opened where there is a re</w:t>
      </w:r>
      <w:r w:rsidR="00B71194">
        <w:t>quirement to do so i.e. u</w:t>
      </w:r>
      <w:r>
        <w:t>pon receipt of new information derived</w:t>
      </w:r>
      <w:r w:rsidR="00873C68">
        <w:t xml:space="preserve"> from</w:t>
      </w:r>
      <w:r w:rsidR="00B71194">
        <w:t xml:space="preserve"> any of the mechanism previously outlined in </w:t>
      </w:r>
      <w:r w:rsidR="00E17B0C">
        <w:t>P</w:t>
      </w:r>
      <w:r w:rsidR="00B71194">
        <w:t xml:space="preserve">art </w:t>
      </w:r>
      <w:r w:rsidR="00E17B0C">
        <w:t>O</w:t>
      </w:r>
      <w:r w:rsidR="00B71194">
        <w:t>ne</w:t>
      </w:r>
      <w:r w:rsidR="00E17B0C">
        <w:t>,</w:t>
      </w:r>
      <w:r w:rsidR="00B71194">
        <w:t xml:space="preserve"> section </w:t>
      </w:r>
      <w:r w:rsidR="00873C68">
        <w:t>1.3</w:t>
      </w:r>
      <w:r w:rsidR="00B71194">
        <w:t xml:space="preserve"> of this guidance. </w:t>
      </w:r>
    </w:p>
    <w:p w:rsidR="00B71194" w:rsidRDefault="00B71194" w:rsidP="00B71194"/>
    <w:p w:rsidR="009E0BE4" w:rsidRPr="00545929" w:rsidRDefault="009E0BE4" w:rsidP="009E0BE4">
      <w:r w:rsidRPr="00545929">
        <w:t xml:space="preserve">Publication of serious incident investigation reports and action plans is considered best practice. </w:t>
      </w:r>
      <w:r w:rsidR="002D3305">
        <w:t xml:space="preserve">To </w:t>
      </w:r>
      <w:r w:rsidR="00E81383">
        <w:t>support openness and transparency, l</w:t>
      </w:r>
      <w:r w:rsidRPr="00545929">
        <w:t>ocal commissioners should work with their providers to encourage and support publication of reports and action plans</w:t>
      </w:r>
      <w:r w:rsidR="002D3305">
        <w:t xml:space="preserve">. </w:t>
      </w:r>
      <w:r w:rsidRPr="00545929">
        <w:t>Where reports are published there</w:t>
      </w:r>
      <w:r w:rsidR="00E17B0C">
        <w:t>,</w:t>
      </w:r>
      <w:r w:rsidRPr="00545929">
        <w:t xml:space="preserve"> must be robust processes in place for proof reading</w:t>
      </w:r>
      <w:r w:rsidR="00E310E5">
        <w:t xml:space="preserve"> and</w:t>
      </w:r>
      <w:r w:rsidR="002D3305">
        <w:t xml:space="preserve"> steps must be taken to protect the anonymity of persons involved</w:t>
      </w:r>
      <w:r w:rsidR="005C442E" w:rsidRPr="00545929">
        <w:t xml:space="preserve">. </w:t>
      </w:r>
      <w:r w:rsidR="00325D8A" w:rsidRPr="00325D8A">
        <w:t>Reports should not contain confidential personal information unless consent has been obtained or there is an overriding public interest</w:t>
      </w:r>
      <w:r w:rsidR="0007798B">
        <w:t xml:space="preserve"> (as described in section 4.4)</w:t>
      </w:r>
      <w:r w:rsidR="00325D8A">
        <w:t>. The c</w:t>
      </w:r>
      <w:r w:rsidR="005C442E" w:rsidRPr="00545929">
        <w:t>ontent must be considered by the organisation</w:t>
      </w:r>
      <w:r w:rsidR="00FF6A70">
        <w:t>’</w:t>
      </w:r>
      <w:r w:rsidR="005C442E" w:rsidRPr="00545929">
        <w:t xml:space="preserve">s Risk Manager (or relevant officer) </w:t>
      </w:r>
      <w:r w:rsidR="00E310E5">
        <w:t>with support from the organisation</w:t>
      </w:r>
      <w:r w:rsidR="002D3305">
        <w:t xml:space="preserve">s Caldicott Guardian and </w:t>
      </w:r>
      <w:r w:rsidR="00E310E5">
        <w:t xml:space="preserve">legal advisor/ </w:t>
      </w:r>
      <w:r w:rsidR="005C442E" w:rsidRPr="00545929">
        <w:t>team</w:t>
      </w:r>
      <w:r w:rsidR="002938D0">
        <w:t xml:space="preserve"> as required</w:t>
      </w:r>
      <w:r w:rsidR="005C442E" w:rsidRPr="00545929">
        <w:t xml:space="preserve">. </w:t>
      </w:r>
      <w:r w:rsidR="00C5560D">
        <w:t xml:space="preserve">It is important </w:t>
      </w:r>
      <w:r w:rsidR="002772D1">
        <w:t>to share information safely</w:t>
      </w:r>
      <w:r w:rsidR="00B71194">
        <w:t xml:space="preserve"> </w:t>
      </w:r>
      <w:r w:rsidR="002D3305">
        <w:t xml:space="preserve">for the purposes of learning </w:t>
      </w:r>
      <w:r w:rsidR="00B71194">
        <w:t xml:space="preserve">whilst maintaining the principle of openness and transparency. </w:t>
      </w:r>
    </w:p>
    <w:p w:rsidR="009E0BE4" w:rsidRDefault="009E0BE4" w:rsidP="009E0BE4"/>
    <w:p w:rsidR="00DC0132" w:rsidRDefault="00F20F68" w:rsidP="002F11B3">
      <w:pPr>
        <w:pStyle w:val="Heading1"/>
        <w:numPr>
          <w:ilvl w:val="0"/>
          <w:numId w:val="8"/>
        </w:numPr>
      </w:pPr>
      <w:bookmarkStart w:id="59" w:name="_Toc414568071"/>
      <w:r>
        <w:t>Next steps</w:t>
      </w:r>
      <w:bookmarkEnd w:id="59"/>
    </w:p>
    <w:p w:rsidR="00F20F68" w:rsidRDefault="00F20F68" w:rsidP="009E0BE4"/>
    <w:p w:rsidR="00CA7279" w:rsidRDefault="00F20F68" w:rsidP="009E0BE4">
      <w:r>
        <w:t>It is important to recognise that the closure of an incident marks</w:t>
      </w:r>
      <w:r w:rsidR="00E17B0C">
        <w:t xml:space="preserve"> only</w:t>
      </w:r>
      <w:r>
        <w:t xml:space="preserve"> the completion of the investigation process. The delivery</w:t>
      </w:r>
      <w:r w:rsidR="00B71194">
        <w:t xml:space="preserve"> and implementation</w:t>
      </w:r>
      <w:r>
        <w:t xml:space="preserve"> of action and improvement may be in its infancy</w:t>
      </w:r>
      <w:r w:rsidR="00B71194">
        <w:t xml:space="preserve"> at this stage</w:t>
      </w:r>
      <w:r>
        <w:t>. Implementing change and improvement can take time</w:t>
      </w:r>
      <w:r w:rsidR="00CA7279">
        <w:t>,</w:t>
      </w:r>
      <w:r>
        <w:t xml:space="preserve"> particularly </w:t>
      </w:r>
      <w:r w:rsidR="004F3E55">
        <w:t>where this relates</w:t>
      </w:r>
      <w:r w:rsidR="00773FFA">
        <w:t xml:space="preserve"> to behaviour</w:t>
      </w:r>
      <w:r w:rsidR="004F3E55">
        <w:t xml:space="preserve">al </w:t>
      </w:r>
      <w:r w:rsidR="00773FFA">
        <w:t xml:space="preserve">and </w:t>
      </w:r>
      <w:r w:rsidR="004F3E55">
        <w:t>cultural change</w:t>
      </w:r>
      <w:r>
        <w:t>.</w:t>
      </w:r>
      <w:r w:rsidR="00997770">
        <w:t xml:space="preserve"> It is not unreasonable for imp</w:t>
      </w:r>
      <w:r w:rsidR="00773FFA">
        <w:t>rovement</w:t>
      </w:r>
      <w:r w:rsidR="00B71194">
        <w:t>s</w:t>
      </w:r>
      <w:r w:rsidR="00773FFA">
        <w:t xml:space="preserve"> to take many months or</w:t>
      </w:r>
      <w:r w:rsidR="00997770">
        <w:t xml:space="preserve"> even years in some cases.</w:t>
      </w:r>
      <w:r>
        <w:t xml:space="preserve"> </w:t>
      </w:r>
    </w:p>
    <w:p w:rsidR="00CA7279" w:rsidRDefault="00CA7279" w:rsidP="009E0BE4"/>
    <w:p w:rsidR="00B71194" w:rsidRDefault="00997770" w:rsidP="009E0BE4">
      <w:r>
        <w:t>It is important that providers and commissioner</w:t>
      </w:r>
      <w:r w:rsidR="00773FFA">
        <w:t>s</w:t>
      </w:r>
      <w:r>
        <w:t xml:space="preserve"> invest</w:t>
      </w:r>
      <w:r w:rsidR="00F20F68">
        <w:t xml:space="preserve"> time</w:t>
      </w:r>
      <w:r w:rsidR="00B71194">
        <w:t xml:space="preserve"> and resources</w:t>
      </w:r>
      <w:r w:rsidR="00F20F68">
        <w:t xml:space="preserve"> </w:t>
      </w:r>
      <w:r w:rsidR="00B71194">
        <w:t>into</w:t>
      </w:r>
      <w:r w:rsidR="00F20F68">
        <w:t xml:space="preserve"> monitoring</w:t>
      </w:r>
      <w:r>
        <w:t xml:space="preserve"> and progressing with</w:t>
      </w:r>
      <w:r w:rsidR="00F20F68">
        <w:t xml:space="preserve"> </w:t>
      </w:r>
      <w:r>
        <w:t>long term actions</w:t>
      </w:r>
      <w:r w:rsidR="00F20F68">
        <w:t xml:space="preserve">, particularly where these </w:t>
      </w:r>
      <w:r w:rsidR="00B71194">
        <w:t>a</w:t>
      </w:r>
      <w:r w:rsidR="00F20F68">
        <w:t>ddress the causes contributing to other incidents across the system.</w:t>
      </w:r>
      <w:r w:rsidR="00B369C5">
        <w:t xml:space="preserve"> A mechanism for the monitoring and review of actions should be agreed by the provider and commissioner.</w:t>
      </w:r>
    </w:p>
    <w:p w:rsidR="00B71194" w:rsidRDefault="00B71194" w:rsidP="009E0BE4"/>
    <w:p w:rsidR="00773FFA" w:rsidRDefault="00CA7279" w:rsidP="009E0BE4">
      <w:r>
        <w:lastRenderedPageBreak/>
        <w:t>Patients and families involved may also wish to maintain their involvement with the organisations after the investigation is closed</w:t>
      </w:r>
      <w:r w:rsidR="00A03E62">
        <w:t xml:space="preserve"> </w:t>
      </w:r>
      <w:r w:rsidR="00B71194">
        <w:t xml:space="preserve">in order </w:t>
      </w:r>
      <w:r w:rsidR="00A03E62">
        <w:t>to seek assur</w:t>
      </w:r>
      <w:r w:rsidR="00E17B0C">
        <w:t>ance</w:t>
      </w:r>
      <w:r w:rsidR="00A03E62">
        <w:t xml:space="preserve"> that action is being taken and that lessons are reall</w:t>
      </w:r>
      <w:r w:rsidR="00D333DF">
        <w:t>y</w:t>
      </w:r>
      <w:r w:rsidR="00A03E62">
        <w:t xml:space="preserve"> being learned.</w:t>
      </w:r>
      <w:r>
        <w:t xml:space="preserve"> </w:t>
      </w:r>
      <w:r w:rsidR="00A03E62">
        <w:t>Opportunities for futu</w:t>
      </w:r>
      <w:r w:rsidR="00B71194">
        <w:t>re involvement should be made available</w:t>
      </w:r>
      <w:r w:rsidR="00A03E62">
        <w:t xml:space="preserve"> where this is the case.</w:t>
      </w:r>
    </w:p>
    <w:p w:rsidR="00773FFA" w:rsidRDefault="00773FFA" w:rsidP="009E0BE4"/>
    <w:p w:rsidR="00F20F68" w:rsidRDefault="00B71194" w:rsidP="009E0BE4">
      <w:r>
        <w:t xml:space="preserve">In order </w:t>
      </w:r>
      <w:r w:rsidR="00997770">
        <w:t>to</w:t>
      </w:r>
      <w:r w:rsidR="00773FFA">
        <w:t xml:space="preserve"> </w:t>
      </w:r>
      <w:r w:rsidR="00997770">
        <w:t>prevent issues</w:t>
      </w:r>
      <w:r w:rsidR="00773FFA">
        <w:t xml:space="preserve"> from</w:t>
      </w:r>
      <w:r w:rsidR="00CA7279">
        <w:t xml:space="preserve"> being considered in isolation</w:t>
      </w:r>
      <w:r w:rsidR="00997770">
        <w:t xml:space="preserve"> and</w:t>
      </w:r>
      <w:r w:rsidR="00CA7279">
        <w:t xml:space="preserve"> common trends from being missed</w:t>
      </w:r>
      <w:r>
        <w:t>, i</w:t>
      </w:r>
      <w:r w:rsidRPr="00B71194">
        <w:t>nvestigation reports and action plans should be reviewed collectively</w:t>
      </w:r>
      <w:r w:rsidR="00B369C5">
        <w:t xml:space="preserve"> by providers </w:t>
      </w:r>
      <w:r w:rsidRPr="00B71194">
        <w:t>on a regular basis</w:t>
      </w:r>
      <w:r w:rsidR="00CA7279">
        <w:t xml:space="preserve">. A more collective approach </w:t>
      </w:r>
      <w:r>
        <w:t>can</w:t>
      </w:r>
      <w:r w:rsidR="00CA7279">
        <w:t xml:space="preserve"> help to make </w:t>
      </w:r>
      <w:r>
        <w:t>the delivery of multiple action plans</w:t>
      </w:r>
      <w:r w:rsidR="00CA7279">
        <w:t xml:space="preserve"> more mana</w:t>
      </w:r>
      <w:r>
        <w:t>geable and can also</w:t>
      </w:r>
      <w:r w:rsidR="00CA7279">
        <w:t xml:space="preserve"> hel</w:t>
      </w:r>
      <w:r w:rsidR="00A03E62">
        <w:t>p inform wider strategic aims for</w:t>
      </w:r>
      <w:r w:rsidR="00CA7279">
        <w:t xml:space="preserve"> the organisations involved.</w:t>
      </w:r>
    </w:p>
    <w:p w:rsidR="00F20F68" w:rsidRDefault="00685DE9" w:rsidP="009E0BE4">
      <w:r>
        <w:br w:type="page"/>
      </w:r>
    </w:p>
    <w:p w:rsidR="005D2131" w:rsidRDefault="005D2131" w:rsidP="00BE15C7">
      <w:pPr>
        <w:pStyle w:val="Heading1"/>
      </w:pPr>
      <w:bookmarkStart w:id="60" w:name="_Toc414568072"/>
      <w:r>
        <w:t xml:space="preserve">Appendix 1: </w:t>
      </w:r>
      <w:r w:rsidR="00994A88">
        <w:t xml:space="preserve">Regional Investigation Teams: </w:t>
      </w:r>
      <w:r w:rsidR="00290060">
        <w:t>Investigation</w:t>
      </w:r>
      <w:r w:rsidR="00994A88">
        <w:t xml:space="preserve"> of</w:t>
      </w:r>
      <w:r w:rsidR="00290060">
        <w:t xml:space="preserve"> homicide by those in receipt of mental health care</w:t>
      </w:r>
      <w:bookmarkEnd w:id="60"/>
    </w:p>
    <w:p w:rsidR="0058419C" w:rsidRPr="0058419C" w:rsidRDefault="0058419C" w:rsidP="0058419C"/>
    <w:p w:rsidR="0058419C" w:rsidRDefault="0058419C" w:rsidP="00C65496">
      <w:pPr>
        <w:tabs>
          <w:tab w:val="left" w:pos="720"/>
          <w:tab w:val="left" w:pos="2520"/>
          <w:tab w:val="left" w:pos="6480"/>
        </w:tabs>
        <w:spacing w:after="120" w:line="276" w:lineRule="auto"/>
        <w:rPr>
          <w:rFonts w:cs="Arial"/>
          <w:szCs w:val="24"/>
        </w:rPr>
      </w:pPr>
      <w:r w:rsidRPr="0058419C">
        <w:rPr>
          <w:rFonts w:cs="Arial"/>
          <w:b/>
          <w:szCs w:val="24"/>
        </w:rPr>
        <w:t>Introduction</w:t>
      </w:r>
      <w:r w:rsidRPr="0058419C">
        <w:rPr>
          <w:rFonts w:cs="Arial"/>
          <w:szCs w:val="24"/>
        </w:rPr>
        <w:t xml:space="preserve"> </w:t>
      </w:r>
    </w:p>
    <w:p w:rsidR="00C65496" w:rsidRDefault="0058419C" w:rsidP="00C65496">
      <w:pPr>
        <w:autoSpaceDE w:val="0"/>
        <w:autoSpaceDN w:val="0"/>
        <w:adjustRightInd w:val="0"/>
        <w:spacing w:after="120"/>
        <w:rPr>
          <w:rFonts w:cs="Arial"/>
          <w:szCs w:val="24"/>
          <w:lang w:eastAsia="en-GB"/>
        </w:rPr>
      </w:pPr>
      <w:r w:rsidRPr="0058419C">
        <w:rPr>
          <w:rFonts w:cs="Arial"/>
          <w:szCs w:val="24"/>
          <w:lang w:eastAsia="en-GB"/>
        </w:rPr>
        <w:t xml:space="preserve">This Standard Operating Model has been developed by NHS England’s regional teams with contributions from a wide range of stakeholders including families, carers, NHS England Regional and </w:t>
      </w:r>
      <w:r w:rsidR="00F740FD">
        <w:rPr>
          <w:rFonts w:cs="Arial"/>
          <w:szCs w:val="24"/>
          <w:lang w:eastAsia="en-GB"/>
        </w:rPr>
        <w:t xml:space="preserve">Area Team </w:t>
      </w:r>
      <w:r w:rsidRPr="0058419C">
        <w:rPr>
          <w:rFonts w:cs="Arial"/>
          <w:szCs w:val="24"/>
          <w:lang w:eastAsia="en-GB"/>
        </w:rPr>
        <w:t xml:space="preserve">Directors of Nursing, regional investigation team leads and independent investigators. </w:t>
      </w:r>
      <w:r w:rsidR="00403873">
        <w:rPr>
          <w:rFonts w:cs="Arial"/>
          <w:szCs w:val="24"/>
          <w:lang w:eastAsia="en-GB"/>
        </w:rPr>
        <w:t>It describes</w:t>
      </w:r>
      <w:r w:rsidR="00276B46">
        <w:rPr>
          <w:rFonts w:cs="Arial"/>
          <w:szCs w:val="24"/>
          <w:lang w:eastAsia="en-GB"/>
        </w:rPr>
        <w:t xml:space="preserve"> the </w:t>
      </w:r>
      <w:r w:rsidRPr="0058419C">
        <w:rPr>
          <w:rFonts w:cs="Arial"/>
          <w:szCs w:val="24"/>
          <w:lang w:eastAsia="en-GB"/>
        </w:rPr>
        <w:t>process</w:t>
      </w:r>
      <w:r w:rsidR="00276B46">
        <w:rPr>
          <w:rFonts w:cs="Arial"/>
          <w:szCs w:val="24"/>
          <w:lang w:eastAsia="en-GB"/>
        </w:rPr>
        <w:t xml:space="preserve"> overseen by NHS England’s regional investigation team to ensure an appropriate approach is undertaken</w:t>
      </w:r>
      <w:r w:rsidR="0071232D">
        <w:rPr>
          <w:rFonts w:cs="Arial"/>
          <w:szCs w:val="24"/>
          <w:lang w:eastAsia="en-GB"/>
        </w:rPr>
        <w:t xml:space="preserve"> </w:t>
      </w:r>
      <w:r w:rsidRPr="0058419C">
        <w:rPr>
          <w:rFonts w:cs="Arial"/>
          <w:szCs w:val="24"/>
          <w:lang w:eastAsia="en-GB"/>
        </w:rPr>
        <w:t>when responding to mental health care-related homicides.</w:t>
      </w:r>
      <w:r w:rsidR="00F740FD">
        <w:rPr>
          <w:rFonts w:cs="Arial"/>
          <w:szCs w:val="24"/>
          <w:lang w:eastAsia="en-GB"/>
        </w:rPr>
        <w:t xml:space="preserve"> It must be read in conjunction with the main </w:t>
      </w:r>
      <w:r w:rsidR="005A7486">
        <w:rPr>
          <w:rFonts w:cs="Arial"/>
          <w:szCs w:val="24"/>
          <w:lang w:eastAsia="en-GB"/>
        </w:rPr>
        <w:t>Framework</w:t>
      </w:r>
      <w:r w:rsidR="00F740FD">
        <w:rPr>
          <w:rFonts w:cs="Arial"/>
          <w:szCs w:val="24"/>
          <w:lang w:eastAsia="en-GB"/>
        </w:rPr>
        <w:t xml:space="preserve">. </w:t>
      </w:r>
    </w:p>
    <w:p w:rsidR="00385044" w:rsidRDefault="00385044" w:rsidP="00C65496">
      <w:pPr>
        <w:autoSpaceDE w:val="0"/>
        <w:autoSpaceDN w:val="0"/>
        <w:adjustRightInd w:val="0"/>
        <w:spacing w:after="120"/>
        <w:rPr>
          <w:rFonts w:cs="Arial"/>
          <w:b/>
          <w:szCs w:val="24"/>
          <w:lang w:eastAsia="en-GB"/>
        </w:rPr>
      </w:pPr>
    </w:p>
    <w:p w:rsidR="002938D0" w:rsidRDefault="00276B46" w:rsidP="00C65496">
      <w:pPr>
        <w:autoSpaceDE w:val="0"/>
        <w:autoSpaceDN w:val="0"/>
        <w:adjustRightInd w:val="0"/>
        <w:spacing w:after="120"/>
        <w:rPr>
          <w:rFonts w:cs="Arial"/>
          <w:b/>
          <w:szCs w:val="24"/>
          <w:lang w:eastAsia="en-GB"/>
        </w:rPr>
      </w:pPr>
      <w:r w:rsidRPr="002938D0">
        <w:rPr>
          <w:rFonts w:cs="Arial"/>
          <w:b/>
          <w:szCs w:val="24"/>
          <w:lang w:eastAsia="en-GB"/>
        </w:rPr>
        <w:t>Scope</w:t>
      </w:r>
    </w:p>
    <w:p w:rsidR="002144A2" w:rsidRPr="002938D0" w:rsidRDefault="002144A2" w:rsidP="00C65496">
      <w:pPr>
        <w:autoSpaceDE w:val="0"/>
        <w:autoSpaceDN w:val="0"/>
        <w:adjustRightInd w:val="0"/>
        <w:spacing w:after="120"/>
        <w:rPr>
          <w:rFonts w:cs="Arial"/>
          <w:b/>
          <w:szCs w:val="24"/>
          <w:lang w:eastAsia="en-GB"/>
        </w:rPr>
      </w:pPr>
      <w:r w:rsidRPr="002938D0">
        <w:rPr>
          <w:rFonts w:cs="Arial"/>
          <w:szCs w:val="24"/>
          <w:lang w:eastAsia="en-GB"/>
        </w:rPr>
        <w:t>This appendix covers the process for investigating mental h</w:t>
      </w:r>
      <w:r w:rsidR="008F7D3A" w:rsidRPr="002938D0">
        <w:rPr>
          <w:rFonts w:cs="Arial"/>
          <w:szCs w:val="24"/>
          <w:lang w:eastAsia="en-GB"/>
        </w:rPr>
        <w:t>ealth care related homicides only. O</w:t>
      </w:r>
      <w:r w:rsidRPr="002938D0">
        <w:rPr>
          <w:rFonts w:cs="Arial"/>
          <w:szCs w:val="24"/>
          <w:lang w:eastAsia="en-GB"/>
        </w:rPr>
        <w:t xml:space="preserve">ther circumstances </w:t>
      </w:r>
      <w:r w:rsidR="00197A66">
        <w:rPr>
          <w:rFonts w:cs="Arial"/>
          <w:szCs w:val="24"/>
          <w:lang w:eastAsia="en-GB"/>
        </w:rPr>
        <w:t>that</w:t>
      </w:r>
      <w:r w:rsidR="00197A66" w:rsidRPr="002938D0">
        <w:rPr>
          <w:rFonts w:cs="Arial"/>
          <w:szCs w:val="24"/>
          <w:lang w:eastAsia="en-GB"/>
        </w:rPr>
        <w:t xml:space="preserve"> </w:t>
      </w:r>
      <w:r w:rsidRPr="002938D0">
        <w:rPr>
          <w:rFonts w:cs="Arial"/>
          <w:szCs w:val="24"/>
          <w:lang w:eastAsia="en-GB"/>
        </w:rPr>
        <w:t>may require an independent investigation</w:t>
      </w:r>
      <w:r w:rsidR="008F7D3A" w:rsidRPr="002938D0">
        <w:rPr>
          <w:rFonts w:cs="Arial"/>
          <w:szCs w:val="24"/>
          <w:lang w:eastAsia="en-GB"/>
        </w:rPr>
        <w:t xml:space="preserve"> and the process that should be followed in such circumstances are described in</w:t>
      </w:r>
      <w:r w:rsidRPr="002938D0">
        <w:rPr>
          <w:rFonts w:cs="Arial"/>
          <w:szCs w:val="24"/>
          <w:lang w:eastAsia="en-GB"/>
        </w:rPr>
        <w:t xml:space="preserve"> </w:t>
      </w:r>
      <w:r w:rsidR="00E17B0C">
        <w:rPr>
          <w:rFonts w:cs="Arial"/>
          <w:szCs w:val="24"/>
          <w:lang w:eastAsia="en-GB"/>
        </w:rPr>
        <w:t>A</w:t>
      </w:r>
      <w:r w:rsidRPr="002938D0">
        <w:rPr>
          <w:rFonts w:cs="Arial"/>
          <w:szCs w:val="24"/>
          <w:lang w:eastAsia="en-GB"/>
        </w:rPr>
        <w:t>ppendix 3.</w:t>
      </w:r>
    </w:p>
    <w:p w:rsidR="00276B46" w:rsidRPr="00197A66" w:rsidRDefault="00276B46" w:rsidP="00EC3190">
      <w:pPr>
        <w:autoSpaceDE w:val="0"/>
        <w:autoSpaceDN w:val="0"/>
        <w:adjustRightInd w:val="0"/>
        <w:spacing w:after="120"/>
        <w:rPr>
          <w:rFonts w:cs="Arial"/>
          <w:szCs w:val="24"/>
          <w:lang w:eastAsia="en-GB"/>
        </w:rPr>
      </w:pPr>
      <w:r w:rsidRPr="002938D0">
        <w:rPr>
          <w:rFonts w:cs="Arial"/>
          <w:szCs w:val="24"/>
          <w:lang w:eastAsia="en-GB"/>
        </w:rPr>
        <w:t>The regional investigations</w:t>
      </w:r>
      <w:r w:rsidR="00403873" w:rsidRPr="002938D0">
        <w:rPr>
          <w:rFonts w:cs="Arial"/>
          <w:szCs w:val="24"/>
          <w:lang w:eastAsia="en-GB"/>
        </w:rPr>
        <w:t xml:space="preserve"> team</w:t>
      </w:r>
      <w:r w:rsidRPr="002938D0">
        <w:rPr>
          <w:rFonts w:cs="Arial"/>
          <w:szCs w:val="24"/>
          <w:lang w:eastAsia="en-GB"/>
        </w:rPr>
        <w:t xml:space="preserve"> should commission an indep</w:t>
      </w:r>
      <w:r w:rsidR="00403873" w:rsidRPr="002938D0">
        <w:rPr>
          <w:rFonts w:cs="Arial"/>
          <w:szCs w:val="24"/>
          <w:lang w:eastAsia="en-GB"/>
        </w:rPr>
        <w:t>en</w:t>
      </w:r>
      <w:r w:rsidRPr="002938D0">
        <w:rPr>
          <w:rFonts w:cs="Arial"/>
          <w:szCs w:val="24"/>
          <w:lang w:eastAsia="en-GB"/>
        </w:rPr>
        <w:t>dent investigation</w:t>
      </w:r>
      <w:r w:rsidR="008F7D3A" w:rsidRPr="002938D0">
        <w:rPr>
          <w:rFonts w:cs="Arial"/>
          <w:szCs w:val="24"/>
          <w:lang w:eastAsia="en-GB"/>
        </w:rPr>
        <w:t xml:space="preserve"> of mental health care</w:t>
      </w:r>
      <w:r w:rsidR="002F37ED">
        <w:rPr>
          <w:rFonts w:cs="Arial"/>
          <w:szCs w:val="24"/>
          <w:lang w:eastAsia="en-GB"/>
        </w:rPr>
        <w:t xml:space="preserve"> </w:t>
      </w:r>
      <w:r w:rsidR="008F7D3A" w:rsidRPr="002938D0">
        <w:rPr>
          <w:rFonts w:cs="Arial"/>
          <w:szCs w:val="24"/>
          <w:lang w:eastAsia="en-GB"/>
        </w:rPr>
        <w:t>related homicides</w:t>
      </w:r>
      <w:r w:rsidR="00403873" w:rsidRPr="002938D0">
        <w:rPr>
          <w:rFonts w:cs="Arial"/>
          <w:szCs w:val="24"/>
          <w:lang w:eastAsia="en-GB"/>
        </w:rPr>
        <w:t xml:space="preserve"> </w:t>
      </w:r>
      <w:r w:rsidRPr="002938D0">
        <w:rPr>
          <w:rFonts w:cs="Arial"/>
          <w:szCs w:val="24"/>
          <w:lang w:eastAsia="en-GB"/>
        </w:rPr>
        <w:t>when</w:t>
      </w:r>
      <w:r w:rsidR="00197A66">
        <w:rPr>
          <w:rFonts w:cs="Arial"/>
          <w:szCs w:val="24"/>
          <w:lang w:eastAsia="en-GB"/>
        </w:rPr>
        <w:t xml:space="preserve"> </w:t>
      </w:r>
      <w:r w:rsidRPr="00197A66">
        <w:rPr>
          <w:rFonts w:cs="Arial"/>
          <w:szCs w:val="24"/>
          <w:lang w:eastAsia="en-GB"/>
        </w:rPr>
        <w:t>a homicide has been committed by a person who is</w:t>
      </w:r>
      <w:r w:rsidR="00403873" w:rsidRPr="00197A66">
        <w:rPr>
          <w:rFonts w:cs="Arial"/>
          <w:szCs w:val="24"/>
          <w:lang w:eastAsia="en-GB"/>
        </w:rPr>
        <w:t>,</w:t>
      </w:r>
      <w:r w:rsidRPr="00197A66">
        <w:rPr>
          <w:rFonts w:cs="Arial"/>
          <w:szCs w:val="24"/>
          <w:lang w:eastAsia="en-GB"/>
        </w:rPr>
        <w:t xml:space="preserve"> or has been</w:t>
      </w:r>
      <w:r w:rsidR="00403873" w:rsidRPr="00197A66">
        <w:rPr>
          <w:rFonts w:cs="Arial"/>
          <w:szCs w:val="24"/>
          <w:lang w:eastAsia="en-GB"/>
        </w:rPr>
        <w:t>,</w:t>
      </w:r>
      <w:r w:rsidRPr="00197A66">
        <w:rPr>
          <w:rFonts w:cs="Arial"/>
          <w:szCs w:val="24"/>
          <w:lang w:eastAsia="en-GB"/>
        </w:rPr>
        <w:t xml:space="preserve"> subject to a care programme approach</w:t>
      </w:r>
      <w:r w:rsidR="00403873" w:rsidRPr="00197A66">
        <w:rPr>
          <w:rFonts w:cs="Arial"/>
          <w:szCs w:val="24"/>
          <w:lang w:eastAsia="en-GB"/>
        </w:rPr>
        <w:t>,</w:t>
      </w:r>
      <w:r w:rsidRPr="00197A66">
        <w:rPr>
          <w:rFonts w:cs="Arial"/>
          <w:szCs w:val="24"/>
          <w:lang w:eastAsia="en-GB"/>
        </w:rPr>
        <w:t xml:space="preserve"> or is under the care of specialist mental health services</w:t>
      </w:r>
      <w:r w:rsidR="00403873" w:rsidRPr="00197A66">
        <w:rPr>
          <w:rFonts w:cs="Arial"/>
          <w:szCs w:val="24"/>
          <w:lang w:eastAsia="en-GB"/>
        </w:rPr>
        <w:t>,</w:t>
      </w:r>
      <w:r w:rsidRPr="00197A66">
        <w:rPr>
          <w:rFonts w:cs="Arial"/>
          <w:szCs w:val="24"/>
          <w:lang w:eastAsia="en-GB"/>
        </w:rPr>
        <w:t xml:space="preserve"> in the past </w:t>
      </w:r>
      <w:r w:rsidR="00E17B0C">
        <w:rPr>
          <w:rFonts w:cs="Arial"/>
          <w:szCs w:val="24"/>
          <w:lang w:eastAsia="en-GB"/>
        </w:rPr>
        <w:t>6</w:t>
      </w:r>
      <w:r w:rsidRPr="00197A66">
        <w:rPr>
          <w:rFonts w:cs="Arial"/>
          <w:szCs w:val="24"/>
          <w:lang w:eastAsia="en-GB"/>
        </w:rPr>
        <w:t xml:space="preserve"> months</w:t>
      </w:r>
      <w:r w:rsidR="00403873" w:rsidRPr="002938D0">
        <w:rPr>
          <w:rStyle w:val="FootnoteReference"/>
          <w:rFonts w:cs="Arial"/>
          <w:szCs w:val="24"/>
          <w:lang w:eastAsia="en-GB"/>
        </w:rPr>
        <w:footnoteReference w:id="49"/>
      </w:r>
      <w:r w:rsidRPr="00197A66">
        <w:rPr>
          <w:rFonts w:cs="Arial"/>
          <w:szCs w:val="24"/>
          <w:lang w:eastAsia="en-GB"/>
        </w:rPr>
        <w:t xml:space="preserve"> prior to the event.</w:t>
      </w:r>
    </w:p>
    <w:p w:rsidR="008F7D3A" w:rsidRDefault="008F7D3A" w:rsidP="00385044">
      <w:pPr>
        <w:autoSpaceDE w:val="0"/>
        <w:autoSpaceDN w:val="0"/>
        <w:adjustRightInd w:val="0"/>
        <w:spacing w:after="120"/>
        <w:rPr>
          <w:rFonts w:cs="Arial"/>
          <w:szCs w:val="24"/>
          <w:lang w:eastAsia="en-GB"/>
        </w:rPr>
      </w:pPr>
      <w:r>
        <w:rPr>
          <w:rFonts w:cs="Arial"/>
          <w:szCs w:val="24"/>
          <w:lang w:eastAsia="en-GB"/>
        </w:rPr>
        <w:t xml:space="preserve">Regional involvement in other circumstances requiring independent investigation is described in </w:t>
      </w:r>
      <w:r w:rsidR="00E17B0C">
        <w:rPr>
          <w:rFonts w:cs="Arial"/>
          <w:szCs w:val="24"/>
          <w:lang w:eastAsia="en-GB"/>
        </w:rPr>
        <w:t>A</w:t>
      </w:r>
      <w:r>
        <w:rPr>
          <w:rFonts w:cs="Arial"/>
          <w:szCs w:val="24"/>
          <w:lang w:eastAsia="en-GB"/>
        </w:rPr>
        <w:t xml:space="preserve">ppendix 3.  </w:t>
      </w:r>
    </w:p>
    <w:p w:rsidR="00C92124" w:rsidRPr="00245937" w:rsidRDefault="00C92124" w:rsidP="00245937">
      <w:pPr>
        <w:autoSpaceDE w:val="0"/>
        <w:autoSpaceDN w:val="0"/>
        <w:adjustRightInd w:val="0"/>
        <w:spacing w:after="120"/>
        <w:rPr>
          <w:rFonts w:cs="Arial"/>
          <w:szCs w:val="24"/>
          <w:lang w:eastAsia="en-GB"/>
        </w:rPr>
      </w:pPr>
      <w:r w:rsidRPr="00C92124">
        <w:rPr>
          <w:rFonts w:cs="Arial"/>
          <w:szCs w:val="24"/>
          <w:lang w:eastAsia="en-GB"/>
        </w:rPr>
        <w:t xml:space="preserve">Investigations carried out under this </w:t>
      </w:r>
      <w:r w:rsidR="005A7486">
        <w:rPr>
          <w:rFonts w:cs="Arial"/>
          <w:szCs w:val="24"/>
          <w:lang w:eastAsia="en-GB"/>
        </w:rPr>
        <w:t>Framework</w:t>
      </w:r>
      <w:r w:rsidRPr="00C92124">
        <w:rPr>
          <w:rFonts w:cs="Arial"/>
          <w:szCs w:val="24"/>
          <w:lang w:eastAsia="en-GB"/>
        </w:rPr>
        <w:t xml:space="preserve"> are conducted for the purposes of learning to prevent recurrence. They are not inquiries into how a person died </w:t>
      </w:r>
      <w:r w:rsidR="002F37ED">
        <w:rPr>
          <w:rFonts w:cs="Arial"/>
          <w:szCs w:val="24"/>
          <w:lang w:eastAsia="en-GB"/>
        </w:rPr>
        <w:t xml:space="preserve">as </w:t>
      </w:r>
      <w:r w:rsidRPr="00C92124">
        <w:rPr>
          <w:rFonts w:cs="Arial"/>
          <w:szCs w:val="24"/>
          <w:lang w:eastAsia="en-GB"/>
        </w:rPr>
        <w:t>this is a matter for Coroners. Neither are they conducted to hold any individual or organisation to account.  Other systems exist for that</w:t>
      </w:r>
      <w:r w:rsidR="003E3D3B">
        <w:rPr>
          <w:rFonts w:cs="Arial"/>
          <w:szCs w:val="24"/>
          <w:lang w:eastAsia="en-GB"/>
        </w:rPr>
        <w:t>,</w:t>
      </w:r>
      <w:r w:rsidRPr="00C92124">
        <w:rPr>
          <w:rFonts w:cs="Arial"/>
          <w:szCs w:val="24"/>
          <w:lang w:eastAsia="en-GB"/>
        </w:rPr>
        <w:t xml:space="preserve"> including: criminal or civil proceedings, disciplinary procedures, employment law and systems of service and professional regulation, such as the Care Quality Commission and the Nursing and Midwifery Council, the Health and Care Professions Council, and the General Medical Council. In circumstances where the actions of other agencies are required then those agencies must be appropriately informed and relevant protocols, outside the scope of this </w:t>
      </w:r>
      <w:r w:rsidR="005A7486">
        <w:rPr>
          <w:rFonts w:cs="Arial"/>
          <w:szCs w:val="24"/>
          <w:lang w:eastAsia="en-GB"/>
        </w:rPr>
        <w:t>Framework</w:t>
      </w:r>
      <w:r w:rsidRPr="00C92124">
        <w:rPr>
          <w:rFonts w:cs="Arial"/>
          <w:szCs w:val="24"/>
          <w:lang w:eastAsia="en-GB"/>
        </w:rPr>
        <w:t>, must be followed.</w:t>
      </w:r>
    </w:p>
    <w:p w:rsidR="00385044" w:rsidRDefault="00385044" w:rsidP="00C65496">
      <w:pPr>
        <w:autoSpaceDE w:val="0"/>
        <w:autoSpaceDN w:val="0"/>
        <w:adjustRightInd w:val="0"/>
        <w:spacing w:after="120"/>
        <w:rPr>
          <w:rFonts w:cs="Arial"/>
          <w:b/>
          <w:szCs w:val="24"/>
          <w:lang w:eastAsia="en-GB"/>
        </w:rPr>
      </w:pPr>
    </w:p>
    <w:p w:rsidR="0058419C" w:rsidRPr="00C65496" w:rsidRDefault="0058419C" w:rsidP="00C65496">
      <w:pPr>
        <w:autoSpaceDE w:val="0"/>
        <w:autoSpaceDN w:val="0"/>
        <w:adjustRightInd w:val="0"/>
        <w:spacing w:after="120"/>
        <w:rPr>
          <w:rFonts w:cs="Arial"/>
          <w:szCs w:val="24"/>
          <w:lang w:eastAsia="en-GB"/>
        </w:rPr>
      </w:pPr>
      <w:r w:rsidRPr="00C65496">
        <w:rPr>
          <w:rFonts w:cs="Arial"/>
          <w:b/>
          <w:szCs w:val="24"/>
          <w:lang w:eastAsia="en-GB"/>
        </w:rPr>
        <w:t xml:space="preserve">Purpose </w:t>
      </w:r>
    </w:p>
    <w:p w:rsidR="0058419C" w:rsidRDefault="0058419C" w:rsidP="00385044">
      <w:pPr>
        <w:autoSpaceDE w:val="0"/>
        <w:autoSpaceDN w:val="0"/>
        <w:adjustRightInd w:val="0"/>
        <w:ind w:left="-11" w:right="-142"/>
        <w:rPr>
          <w:rFonts w:cs="Arial"/>
          <w:szCs w:val="24"/>
          <w:lang w:eastAsia="en-GB"/>
        </w:rPr>
      </w:pPr>
      <w:r w:rsidRPr="00C65496">
        <w:rPr>
          <w:rFonts w:cs="Arial"/>
          <w:szCs w:val="24"/>
          <w:lang w:eastAsia="en-GB"/>
        </w:rPr>
        <w:t>Homicide</w:t>
      </w:r>
      <w:r w:rsidR="008F7D3A">
        <w:rPr>
          <w:rFonts w:cs="Arial"/>
          <w:szCs w:val="24"/>
          <w:lang w:eastAsia="en-GB"/>
        </w:rPr>
        <w:t>s</w:t>
      </w:r>
      <w:r w:rsidRPr="00C65496">
        <w:rPr>
          <w:rFonts w:cs="Arial"/>
          <w:szCs w:val="24"/>
          <w:lang w:eastAsia="en-GB"/>
        </w:rPr>
        <w:t xml:space="preserve"> committed by those in receipt of mental health </w:t>
      </w:r>
      <w:r w:rsidR="00C65496" w:rsidRPr="00C65496">
        <w:rPr>
          <w:rFonts w:cs="Arial"/>
          <w:szCs w:val="24"/>
          <w:lang w:eastAsia="en-GB"/>
        </w:rPr>
        <w:t xml:space="preserve">care </w:t>
      </w:r>
      <w:r w:rsidR="0017154E">
        <w:rPr>
          <w:rFonts w:cs="Arial"/>
          <w:szCs w:val="24"/>
          <w:lang w:eastAsia="en-GB"/>
        </w:rPr>
        <w:t xml:space="preserve">have devastating consequences for the family of the victim (s), patients and their families and a profound impact for all parties involved. These incidents </w:t>
      </w:r>
      <w:r w:rsidR="00C65496" w:rsidRPr="00C65496">
        <w:rPr>
          <w:rFonts w:cs="Arial"/>
          <w:szCs w:val="24"/>
          <w:lang w:eastAsia="en-GB"/>
        </w:rPr>
        <w:t>often require complex, multi-agency investigations</w:t>
      </w:r>
      <w:r w:rsidR="000015E4">
        <w:rPr>
          <w:rFonts w:cs="Arial"/>
          <w:szCs w:val="24"/>
          <w:lang w:eastAsia="en-GB"/>
        </w:rPr>
        <w:t xml:space="preserve"> involving internal and external stakeholder across geographical </w:t>
      </w:r>
      <w:r w:rsidR="0017154E">
        <w:rPr>
          <w:rFonts w:cs="Arial"/>
          <w:szCs w:val="24"/>
          <w:lang w:eastAsia="en-GB"/>
        </w:rPr>
        <w:t>and organisational boundaries</w:t>
      </w:r>
      <w:r w:rsidR="0017154E" w:rsidRPr="00C65496">
        <w:rPr>
          <w:rFonts w:cs="Arial"/>
          <w:szCs w:val="24"/>
          <w:lang w:eastAsia="en-GB"/>
        </w:rPr>
        <w:t>.</w:t>
      </w:r>
      <w:r w:rsidR="0017154E">
        <w:rPr>
          <w:rFonts w:cs="Arial"/>
          <w:szCs w:val="24"/>
          <w:lang w:eastAsia="en-GB"/>
        </w:rPr>
        <w:t xml:space="preserve"> </w:t>
      </w:r>
      <w:r w:rsidR="0017154E" w:rsidRPr="00C65496">
        <w:rPr>
          <w:rFonts w:cs="Arial"/>
          <w:szCs w:val="24"/>
          <w:lang w:eastAsia="en-GB"/>
        </w:rPr>
        <w:t>The</w:t>
      </w:r>
      <w:r w:rsidR="00C65496" w:rsidRPr="00C65496">
        <w:rPr>
          <w:rFonts w:cs="Arial"/>
          <w:szCs w:val="24"/>
          <w:lang w:eastAsia="en-GB"/>
        </w:rPr>
        <w:t xml:space="preserve"> purpose of having a regionally led standardised approach to investigating such incidents is to</w:t>
      </w:r>
      <w:r w:rsidR="003E3D3B">
        <w:rPr>
          <w:rFonts w:cs="Arial"/>
          <w:szCs w:val="24"/>
          <w:lang w:eastAsia="en-GB"/>
        </w:rPr>
        <w:t>:</w:t>
      </w:r>
    </w:p>
    <w:p w:rsidR="00385044" w:rsidRPr="00C65496" w:rsidRDefault="00385044" w:rsidP="00385044">
      <w:pPr>
        <w:autoSpaceDE w:val="0"/>
        <w:autoSpaceDN w:val="0"/>
        <w:adjustRightInd w:val="0"/>
        <w:ind w:left="-11" w:right="-142"/>
        <w:rPr>
          <w:rFonts w:cs="Arial"/>
          <w:szCs w:val="24"/>
          <w:lang w:eastAsia="en-GB"/>
        </w:rPr>
      </w:pPr>
    </w:p>
    <w:p w:rsidR="008F7D3A" w:rsidRDefault="003E3D3B" w:rsidP="0072371B">
      <w:pPr>
        <w:pStyle w:val="ListParagraph"/>
        <w:numPr>
          <w:ilvl w:val="0"/>
          <w:numId w:val="51"/>
        </w:numPr>
        <w:autoSpaceDE w:val="0"/>
        <w:autoSpaceDN w:val="0"/>
        <w:adjustRightInd w:val="0"/>
        <w:spacing w:after="120"/>
        <w:rPr>
          <w:rFonts w:cs="Arial"/>
          <w:szCs w:val="24"/>
          <w:lang w:eastAsia="en-GB"/>
        </w:rPr>
      </w:pPr>
      <w:r>
        <w:rPr>
          <w:rFonts w:cs="Arial"/>
          <w:szCs w:val="24"/>
          <w:lang w:eastAsia="en-GB"/>
        </w:rPr>
        <w:t>E</w:t>
      </w:r>
      <w:r w:rsidR="0058419C" w:rsidRPr="00C65496">
        <w:rPr>
          <w:rFonts w:cs="Arial"/>
          <w:szCs w:val="24"/>
          <w:lang w:eastAsia="en-GB"/>
        </w:rPr>
        <w:t>nsure that mental health care related homicides are investigated in such a way that lessons can be learned effectively</w:t>
      </w:r>
      <w:r w:rsidR="002F37ED">
        <w:rPr>
          <w:rFonts w:cs="Arial"/>
          <w:szCs w:val="24"/>
          <w:lang w:eastAsia="en-GB"/>
        </w:rPr>
        <w:t xml:space="preserve"> to prevent recurrence</w:t>
      </w:r>
      <w:r w:rsidR="00197A66">
        <w:rPr>
          <w:rFonts w:cs="Arial"/>
          <w:szCs w:val="24"/>
          <w:lang w:eastAsia="en-GB"/>
        </w:rPr>
        <w:t>;</w:t>
      </w:r>
    </w:p>
    <w:p w:rsidR="002F37ED" w:rsidRDefault="002F37ED" w:rsidP="002F37ED">
      <w:pPr>
        <w:pStyle w:val="ListParagraph"/>
        <w:autoSpaceDE w:val="0"/>
        <w:autoSpaceDN w:val="0"/>
        <w:adjustRightInd w:val="0"/>
        <w:spacing w:after="120"/>
        <w:rPr>
          <w:rFonts w:cs="Arial"/>
          <w:szCs w:val="24"/>
          <w:lang w:eastAsia="en-GB"/>
        </w:rPr>
      </w:pPr>
    </w:p>
    <w:p w:rsidR="002F37ED" w:rsidRPr="002F37ED" w:rsidRDefault="003E3D3B" w:rsidP="0072371B">
      <w:pPr>
        <w:pStyle w:val="ListParagraph"/>
        <w:numPr>
          <w:ilvl w:val="0"/>
          <w:numId w:val="51"/>
        </w:numPr>
        <w:rPr>
          <w:rFonts w:cs="Arial"/>
          <w:szCs w:val="24"/>
          <w:lang w:eastAsia="en-GB"/>
        </w:rPr>
      </w:pPr>
      <w:r>
        <w:rPr>
          <w:rFonts w:cs="Arial"/>
          <w:szCs w:val="24"/>
          <w:lang w:eastAsia="en-GB"/>
        </w:rPr>
        <w:t>E</w:t>
      </w:r>
      <w:r w:rsidR="00197A66" w:rsidRPr="008F7D3A">
        <w:rPr>
          <w:rFonts w:cs="Arial"/>
          <w:szCs w:val="24"/>
          <w:lang w:eastAsia="en-GB"/>
        </w:rPr>
        <w:t xml:space="preserve">xplicitly </w:t>
      </w:r>
      <w:r w:rsidR="0058419C" w:rsidRPr="008F7D3A">
        <w:rPr>
          <w:rFonts w:cs="Arial"/>
          <w:szCs w:val="24"/>
          <w:lang w:eastAsia="en-GB"/>
        </w:rPr>
        <w:t>consider and if necessary, commission independent investigations into the wider commissioning system and configuration of services that may have contributed to the incident in question</w:t>
      </w:r>
      <w:r w:rsidR="00197A66">
        <w:rPr>
          <w:rFonts w:cs="Arial"/>
          <w:szCs w:val="24"/>
          <w:lang w:eastAsia="en-GB"/>
        </w:rPr>
        <w:t>;</w:t>
      </w:r>
      <w:r w:rsidR="0058419C" w:rsidRPr="008F7D3A">
        <w:rPr>
          <w:rFonts w:cs="Arial"/>
          <w:szCs w:val="24"/>
          <w:lang w:eastAsia="en-GB"/>
        </w:rPr>
        <w:t xml:space="preserve"> </w:t>
      </w:r>
      <w:r w:rsidR="008F7D3A" w:rsidRPr="008F7D3A">
        <w:t xml:space="preserve"> </w:t>
      </w:r>
    </w:p>
    <w:p w:rsidR="002F37ED" w:rsidRPr="002F37ED" w:rsidRDefault="002F37ED" w:rsidP="002F37ED">
      <w:pPr>
        <w:pStyle w:val="ListParagraph"/>
        <w:rPr>
          <w:rFonts w:cs="Arial"/>
          <w:szCs w:val="24"/>
          <w:lang w:eastAsia="en-GB"/>
        </w:rPr>
      </w:pPr>
    </w:p>
    <w:p w:rsidR="002F37ED" w:rsidRDefault="003E3D3B" w:rsidP="0072371B">
      <w:pPr>
        <w:pStyle w:val="ListParagraph"/>
        <w:numPr>
          <w:ilvl w:val="0"/>
          <w:numId w:val="51"/>
        </w:numPr>
        <w:rPr>
          <w:rFonts w:cs="Arial"/>
          <w:szCs w:val="24"/>
          <w:lang w:eastAsia="en-GB"/>
        </w:rPr>
      </w:pPr>
      <w:r>
        <w:rPr>
          <w:rFonts w:cs="Arial"/>
          <w:szCs w:val="24"/>
          <w:lang w:eastAsia="en-GB"/>
        </w:rPr>
        <w:t>F</w:t>
      </w:r>
      <w:r w:rsidR="00197A66">
        <w:rPr>
          <w:rFonts w:cs="Arial"/>
          <w:szCs w:val="24"/>
          <w:lang w:eastAsia="en-GB"/>
        </w:rPr>
        <w:t>acilitate</w:t>
      </w:r>
      <w:r w:rsidR="00197A66" w:rsidRPr="008F7D3A">
        <w:rPr>
          <w:rFonts w:cs="Arial"/>
          <w:szCs w:val="24"/>
          <w:lang w:eastAsia="en-GB"/>
        </w:rPr>
        <w:t xml:space="preserve"> </w:t>
      </w:r>
      <w:r w:rsidR="008F7D3A" w:rsidRPr="008F7D3A">
        <w:rPr>
          <w:rFonts w:cs="Arial"/>
          <w:szCs w:val="24"/>
          <w:lang w:eastAsia="en-GB"/>
        </w:rPr>
        <w:t>further examination of the care and treatment of patients in the wider context and establish whether or not an incident could have been predicted, or prevented, and if any lessons can be learned for the future to reduce the chances of recurrence</w:t>
      </w:r>
      <w:r w:rsidR="00197A66">
        <w:rPr>
          <w:rFonts w:cs="Arial"/>
          <w:szCs w:val="24"/>
          <w:lang w:eastAsia="en-GB"/>
        </w:rPr>
        <w:t>;</w:t>
      </w:r>
      <w:r w:rsidR="008F7D3A" w:rsidRPr="008F7D3A">
        <w:rPr>
          <w:rFonts w:cs="Arial"/>
          <w:szCs w:val="24"/>
          <w:lang w:eastAsia="en-GB"/>
        </w:rPr>
        <w:t xml:space="preserve"> </w:t>
      </w:r>
    </w:p>
    <w:p w:rsidR="002F37ED" w:rsidRPr="002F37ED" w:rsidRDefault="002F37ED" w:rsidP="002F37ED">
      <w:pPr>
        <w:pStyle w:val="ListParagraph"/>
        <w:rPr>
          <w:rFonts w:cs="Arial"/>
          <w:szCs w:val="24"/>
          <w:lang w:eastAsia="en-GB"/>
        </w:rPr>
      </w:pPr>
    </w:p>
    <w:p w:rsidR="00B62385" w:rsidRPr="002F37ED" w:rsidRDefault="003E3D3B" w:rsidP="0072371B">
      <w:pPr>
        <w:pStyle w:val="ListParagraph"/>
        <w:numPr>
          <w:ilvl w:val="0"/>
          <w:numId w:val="51"/>
        </w:numPr>
        <w:rPr>
          <w:rFonts w:cs="Arial"/>
          <w:szCs w:val="24"/>
          <w:lang w:eastAsia="en-GB"/>
        </w:rPr>
      </w:pPr>
      <w:r>
        <w:rPr>
          <w:rFonts w:cs="Arial"/>
          <w:szCs w:val="24"/>
          <w:lang w:eastAsia="en-GB"/>
        </w:rPr>
        <w:t>P</w:t>
      </w:r>
      <w:r w:rsidR="00197A66" w:rsidRPr="002F37ED">
        <w:rPr>
          <w:rFonts w:cs="Arial"/>
          <w:szCs w:val="24"/>
          <w:lang w:eastAsia="en-GB"/>
        </w:rPr>
        <w:t xml:space="preserve">rovide </w:t>
      </w:r>
      <w:r w:rsidR="008F7D3A" w:rsidRPr="002F37ED">
        <w:rPr>
          <w:rFonts w:cs="Arial"/>
          <w:szCs w:val="24"/>
          <w:lang w:eastAsia="en-GB"/>
        </w:rPr>
        <w:t>additional objectivity required due to the significant impact of these events on the victim’s family and carers, plus the wider public concern that can arise following such an event</w:t>
      </w:r>
      <w:r w:rsidR="00197A66">
        <w:rPr>
          <w:rFonts w:cs="Arial"/>
          <w:szCs w:val="24"/>
          <w:lang w:eastAsia="en-GB"/>
        </w:rPr>
        <w:t xml:space="preserve">; </w:t>
      </w:r>
    </w:p>
    <w:p w:rsidR="00B62385" w:rsidRPr="00B62385" w:rsidRDefault="00B62385" w:rsidP="00B62385">
      <w:pPr>
        <w:pStyle w:val="ListParagraph"/>
        <w:rPr>
          <w:rFonts w:cs="Arial"/>
          <w:szCs w:val="24"/>
          <w:lang w:eastAsia="en-GB"/>
        </w:rPr>
      </w:pPr>
    </w:p>
    <w:p w:rsidR="00C65496" w:rsidRDefault="003E3D3B" w:rsidP="0072371B">
      <w:pPr>
        <w:pStyle w:val="ListParagraph"/>
        <w:numPr>
          <w:ilvl w:val="0"/>
          <w:numId w:val="51"/>
        </w:numPr>
        <w:autoSpaceDE w:val="0"/>
        <w:autoSpaceDN w:val="0"/>
        <w:adjustRightInd w:val="0"/>
        <w:spacing w:after="120"/>
        <w:rPr>
          <w:rFonts w:cs="Arial"/>
          <w:szCs w:val="24"/>
          <w:lang w:eastAsia="en-GB"/>
        </w:rPr>
      </w:pPr>
      <w:r>
        <w:rPr>
          <w:rFonts w:cs="Arial"/>
          <w:szCs w:val="24"/>
          <w:lang w:eastAsia="en-GB"/>
        </w:rPr>
        <w:t>E</w:t>
      </w:r>
      <w:r w:rsidR="00197A66">
        <w:rPr>
          <w:rFonts w:cs="Arial"/>
          <w:szCs w:val="24"/>
          <w:lang w:eastAsia="en-GB"/>
        </w:rPr>
        <w:t>nsure</w:t>
      </w:r>
      <w:r w:rsidR="00197A66" w:rsidRPr="00C65496">
        <w:rPr>
          <w:rFonts w:cs="Arial"/>
          <w:szCs w:val="24"/>
          <w:lang w:eastAsia="en-GB"/>
        </w:rPr>
        <w:t xml:space="preserve"> </w:t>
      </w:r>
      <w:r w:rsidR="0058419C" w:rsidRPr="00C65496">
        <w:rPr>
          <w:rFonts w:cs="Arial"/>
          <w:szCs w:val="24"/>
          <w:lang w:eastAsia="en-GB"/>
        </w:rPr>
        <w:t xml:space="preserve">that </w:t>
      </w:r>
      <w:r w:rsidR="00F44547">
        <w:rPr>
          <w:rFonts w:cs="Arial"/>
          <w:szCs w:val="24"/>
          <w:lang w:eastAsia="en-GB"/>
        </w:rPr>
        <w:t xml:space="preserve">any </w:t>
      </w:r>
      <w:r w:rsidR="0058419C" w:rsidRPr="00C65496">
        <w:rPr>
          <w:rFonts w:cs="Arial"/>
          <w:szCs w:val="24"/>
          <w:lang w:eastAsia="en-GB"/>
        </w:rPr>
        <w:t xml:space="preserve">resultant recommendations are implemented through </w:t>
      </w:r>
      <w:r w:rsidR="002F37ED">
        <w:rPr>
          <w:rFonts w:cs="Arial"/>
          <w:szCs w:val="24"/>
          <w:lang w:eastAsia="en-GB"/>
        </w:rPr>
        <w:t xml:space="preserve">effective </w:t>
      </w:r>
      <w:r w:rsidR="0058419C" w:rsidRPr="00C65496">
        <w:rPr>
          <w:rFonts w:cs="Arial"/>
          <w:szCs w:val="24"/>
          <w:lang w:eastAsia="en-GB"/>
        </w:rPr>
        <w:t>action planning</w:t>
      </w:r>
      <w:r w:rsidR="007C75A5">
        <w:rPr>
          <w:rFonts w:cs="Arial"/>
          <w:szCs w:val="24"/>
          <w:lang w:eastAsia="en-GB"/>
        </w:rPr>
        <w:t xml:space="preserve"> and monitoring</w:t>
      </w:r>
      <w:r w:rsidR="0058419C" w:rsidRPr="00C65496">
        <w:rPr>
          <w:rFonts w:cs="Arial"/>
          <w:szCs w:val="24"/>
          <w:lang w:eastAsia="en-GB"/>
        </w:rPr>
        <w:t xml:space="preserve"> by providers and commissioners</w:t>
      </w:r>
      <w:r w:rsidR="00197A66">
        <w:rPr>
          <w:rFonts w:cs="Arial"/>
          <w:szCs w:val="24"/>
          <w:lang w:eastAsia="en-GB"/>
        </w:rPr>
        <w:t>;</w:t>
      </w:r>
    </w:p>
    <w:p w:rsidR="00B62385" w:rsidRDefault="00B62385" w:rsidP="00B62385">
      <w:pPr>
        <w:pStyle w:val="ListParagraph"/>
        <w:autoSpaceDE w:val="0"/>
        <w:autoSpaceDN w:val="0"/>
        <w:adjustRightInd w:val="0"/>
        <w:spacing w:after="120"/>
        <w:rPr>
          <w:rFonts w:cs="Arial"/>
          <w:szCs w:val="24"/>
          <w:lang w:eastAsia="en-GB"/>
        </w:rPr>
      </w:pPr>
    </w:p>
    <w:p w:rsidR="00385044" w:rsidRPr="00385044" w:rsidRDefault="003E3D3B" w:rsidP="0072371B">
      <w:pPr>
        <w:pStyle w:val="ListParagraph"/>
        <w:numPr>
          <w:ilvl w:val="0"/>
          <w:numId w:val="51"/>
        </w:numPr>
        <w:autoSpaceDE w:val="0"/>
        <w:autoSpaceDN w:val="0"/>
        <w:adjustRightInd w:val="0"/>
        <w:rPr>
          <w:rFonts w:cs="Arial"/>
          <w:szCs w:val="24"/>
          <w:lang w:eastAsia="en-GB"/>
        </w:rPr>
      </w:pPr>
      <w:r>
        <w:rPr>
          <w:rFonts w:cs="Arial"/>
          <w:szCs w:val="24"/>
          <w:lang w:eastAsia="en-GB"/>
        </w:rPr>
        <w:t>E</w:t>
      </w:r>
      <w:r w:rsidR="00197A66">
        <w:rPr>
          <w:rFonts w:cs="Arial"/>
          <w:szCs w:val="24"/>
          <w:lang w:eastAsia="en-GB"/>
        </w:rPr>
        <w:t>nsure</w:t>
      </w:r>
      <w:r w:rsidR="00197A66" w:rsidRPr="002F37ED">
        <w:rPr>
          <w:rFonts w:cs="Arial"/>
          <w:szCs w:val="24"/>
          <w:lang w:eastAsia="en-GB"/>
        </w:rPr>
        <w:t xml:space="preserve"> </w:t>
      </w:r>
      <w:r w:rsidR="0058419C" w:rsidRPr="002F37ED">
        <w:rPr>
          <w:rFonts w:cs="Arial"/>
          <w:szCs w:val="24"/>
          <w:lang w:eastAsia="en-GB"/>
        </w:rPr>
        <w:t>families (to include friends, next-of-kin and extended families) of both the deceased and the perpetrator</w:t>
      </w:r>
      <w:r w:rsidR="00F44547">
        <w:rPr>
          <w:rFonts w:cs="Arial"/>
          <w:szCs w:val="24"/>
          <w:lang w:eastAsia="en-GB"/>
        </w:rPr>
        <w:t xml:space="preserve"> are fully involved</w:t>
      </w:r>
      <w:r w:rsidR="0058419C" w:rsidRPr="002F37ED">
        <w:rPr>
          <w:rFonts w:cs="Arial"/>
          <w:szCs w:val="24"/>
          <w:lang w:eastAsia="en-GB"/>
        </w:rPr>
        <w:t>. Families should be at the centre of the process and have appropriate input into investigations</w:t>
      </w:r>
      <w:r w:rsidR="00197A66">
        <w:rPr>
          <w:rFonts w:cs="Arial"/>
          <w:szCs w:val="24"/>
          <w:lang w:eastAsia="en-GB"/>
        </w:rPr>
        <w:t>;</w:t>
      </w:r>
      <w:r w:rsidR="0058419C" w:rsidRPr="002F37ED">
        <w:rPr>
          <w:rFonts w:cs="Arial"/>
          <w:szCs w:val="24"/>
          <w:lang w:eastAsia="en-GB"/>
        </w:rPr>
        <w:t xml:space="preserve"> </w:t>
      </w:r>
    </w:p>
    <w:p w:rsidR="00385044" w:rsidRDefault="00385044" w:rsidP="00385044">
      <w:pPr>
        <w:pStyle w:val="ListParagraph"/>
        <w:autoSpaceDE w:val="0"/>
        <w:autoSpaceDN w:val="0"/>
        <w:adjustRightInd w:val="0"/>
        <w:rPr>
          <w:rFonts w:cs="Arial"/>
          <w:szCs w:val="24"/>
          <w:lang w:eastAsia="en-GB"/>
        </w:rPr>
      </w:pPr>
    </w:p>
    <w:p w:rsidR="00C65496" w:rsidRPr="00385044" w:rsidRDefault="003E3D3B" w:rsidP="0072371B">
      <w:pPr>
        <w:pStyle w:val="ListParagraph"/>
        <w:numPr>
          <w:ilvl w:val="0"/>
          <w:numId w:val="51"/>
        </w:numPr>
        <w:autoSpaceDE w:val="0"/>
        <w:autoSpaceDN w:val="0"/>
        <w:adjustRightInd w:val="0"/>
        <w:rPr>
          <w:rFonts w:cs="Arial"/>
          <w:szCs w:val="24"/>
          <w:lang w:eastAsia="en-GB"/>
        </w:rPr>
      </w:pPr>
      <w:r>
        <w:rPr>
          <w:rFonts w:cs="Arial"/>
          <w:szCs w:val="24"/>
          <w:lang w:eastAsia="en-GB"/>
        </w:rPr>
        <w:t>I</w:t>
      </w:r>
      <w:r w:rsidRPr="00385044">
        <w:rPr>
          <w:rFonts w:cs="Arial"/>
          <w:szCs w:val="24"/>
          <w:lang w:eastAsia="en-GB"/>
        </w:rPr>
        <w:t xml:space="preserve">mprove </w:t>
      </w:r>
      <w:r w:rsidR="00F44547" w:rsidRPr="00385044">
        <w:rPr>
          <w:rFonts w:cs="Arial"/>
          <w:szCs w:val="24"/>
          <w:lang w:eastAsia="en-GB"/>
        </w:rPr>
        <w:t xml:space="preserve">the quality, consistency and timeliness of commissioning independent investigations into such cases through the use of a national </w:t>
      </w:r>
      <w:r w:rsidR="005A7486">
        <w:rPr>
          <w:rFonts w:cs="Arial"/>
          <w:szCs w:val="24"/>
          <w:lang w:eastAsia="en-GB"/>
        </w:rPr>
        <w:t>Framework</w:t>
      </w:r>
      <w:r w:rsidR="00F44547" w:rsidRPr="00385044">
        <w:rPr>
          <w:rFonts w:cs="Arial"/>
          <w:szCs w:val="24"/>
          <w:lang w:eastAsia="en-GB"/>
        </w:rPr>
        <w:t xml:space="preserve"> of approved investigators</w:t>
      </w:r>
      <w:r w:rsidR="00197A66">
        <w:rPr>
          <w:rFonts w:cs="Arial"/>
          <w:szCs w:val="24"/>
          <w:lang w:eastAsia="en-GB"/>
        </w:rPr>
        <w:t>;</w:t>
      </w:r>
    </w:p>
    <w:p w:rsidR="00245937" w:rsidRPr="00245937" w:rsidRDefault="00245937" w:rsidP="00335DAC">
      <w:pPr>
        <w:pStyle w:val="ListParagraph"/>
        <w:rPr>
          <w:rFonts w:cs="Arial"/>
          <w:szCs w:val="24"/>
          <w:lang w:eastAsia="en-GB"/>
        </w:rPr>
      </w:pPr>
    </w:p>
    <w:p w:rsidR="00245937" w:rsidRDefault="003E3D3B" w:rsidP="0072371B">
      <w:pPr>
        <w:pStyle w:val="ListParagraph"/>
        <w:numPr>
          <w:ilvl w:val="0"/>
          <w:numId w:val="51"/>
        </w:numPr>
        <w:autoSpaceDE w:val="0"/>
        <w:autoSpaceDN w:val="0"/>
        <w:adjustRightInd w:val="0"/>
        <w:spacing w:after="120"/>
        <w:rPr>
          <w:rFonts w:cs="Arial"/>
          <w:szCs w:val="24"/>
          <w:lang w:eastAsia="en-GB"/>
        </w:rPr>
      </w:pPr>
      <w:r>
        <w:rPr>
          <w:rFonts w:cs="Arial"/>
          <w:szCs w:val="24"/>
          <w:lang w:eastAsia="en-GB"/>
        </w:rPr>
        <w:t>E</w:t>
      </w:r>
      <w:r w:rsidR="00197A66">
        <w:rPr>
          <w:rFonts w:cs="Arial"/>
          <w:szCs w:val="24"/>
          <w:lang w:eastAsia="en-GB"/>
        </w:rPr>
        <w:t xml:space="preserve">nsure </w:t>
      </w:r>
      <w:r w:rsidR="00245937">
        <w:rPr>
          <w:rFonts w:cs="Arial"/>
          <w:szCs w:val="24"/>
          <w:lang w:eastAsia="en-GB"/>
        </w:rPr>
        <w:t xml:space="preserve">that there is early consideration for joint investigations if other agencies will be carrying out investigations into the same event(s) e.g. in cases of the death of a child. Wherever possible agencies involved should consider if it is possible to </w:t>
      </w:r>
      <w:r w:rsidR="005F69D6">
        <w:rPr>
          <w:rFonts w:cs="Arial"/>
          <w:szCs w:val="24"/>
          <w:lang w:eastAsia="en-GB"/>
        </w:rPr>
        <w:t>commission a single investigation</w:t>
      </w:r>
      <w:r w:rsidR="00AE6576">
        <w:rPr>
          <w:rFonts w:cs="Arial"/>
          <w:szCs w:val="24"/>
          <w:lang w:eastAsia="en-GB"/>
        </w:rPr>
        <w:t>. The regional investigation</w:t>
      </w:r>
      <w:r w:rsidR="008F7D3A">
        <w:rPr>
          <w:rFonts w:cs="Arial"/>
          <w:szCs w:val="24"/>
          <w:lang w:eastAsia="en-GB"/>
        </w:rPr>
        <w:t>s</w:t>
      </w:r>
      <w:r w:rsidR="00AE6576">
        <w:rPr>
          <w:rFonts w:cs="Arial"/>
          <w:szCs w:val="24"/>
          <w:lang w:eastAsia="en-GB"/>
        </w:rPr>
        <w:t xml:space="preserve"> team will ensure that, together with police, Health and </w:t>
      </w:r>
      <w:r w:rsidR="00197A66">
        <w:rPr>
          <w:rFonts w:cs="Arial"/>
          <w:szCs w:val="24"/>
          <w:lang w:eastAsia="en-GB"/>
        </w:rPr>
        <w:t xml:space="preserve">Safety </w:t>
      </w:r>
      <w:r w:rsidR="00AE6576">
        <w:rPr>
          <w:rFonts w:cs="Arial"/>
          <w:szCs w:val="24"/>
          <w:lang w:eastAsia="en-GB"/>
        </w:rPr>
        <w:t>Executive, Local Safeguarding Boards and/or other agencies</w:t>
      </w:r>
      <w:r>
        <w:rPr>
          <w:rFonts w:cs="Arial"/>
          <w:szCs w:val="24"/>
          <w:lang w:eastAsia="en-GB"/>
        </w:rPr>
        <w:t>,</w:t>
      </w:r>
      <w:r w:rsidR="00AE6576">
        <w:rPr>
          <w:rFonts w:cs="Arial"/>
          <w:szCs w:val="24"/>
          <w:lang w:eastAsia="en-GB"/>
        </w:rPr>
        <w:t xml:space="preserve"> agree</w:t>
      </w:r>
      <w:r>
        <w:rPr>
          <w:rFonts w:cs="Arial"/>
          <w:szCs w:val="24"/>
          <w:lang w:eastAsia="en-GB"/>
        </w:rPr>
        <w:t>ment is reached regarding</w:t>
      </w:r>
      <w:r w:rsidR="00AE6576">
        <w:rPr>
          <w:rFonts w:cs="Arial"/>
          <w:szCs w:val="24"/>
          <w:lang w:eastAsia="en-GB"/>
        </w:rPr>
        <w:t xml:space="preserve"> an approach to</w:t>
      </w:r>
      <w:r>
        <w:rPr>
          <w:rFonts w:cs="Arial"/>
          <w:szCs w:val="24"/>
          <w:lang w:eastAsia="en-GB"/>
        </w:rPr>
        <w:t>:</w:t>
      </w:r>
    </w:p>
    <w:p w:rsidR="00AE6576" w:rsidRPr="00AE6576" w:rsidRDefault="00AE6576" w:rsidP="00335DAC">
      <w:pPr>
        <w:pStyle w:val="ListParagraph"/>
        <w:rPr>
          <w:rFonts w:cs="Arial"/>
          <w:szCs w:val="24"/>
          <w:lang w:eastAsia="en-GB"/>
        </w:rPr>
      </w:pPr>
    </w:p>
    <w:p w:rsidR="00AE6576" w:rsidRDefault="003E3D3B" w:rsidP="0072371B">
      <w:pPr>
        <w:pStyle w:val="ListParagraph"/>
        <w:numPr>
          <w:ilvl w:val="1"/>
          <w:numId w:val="51"/>
        </w:numPr>
        <w:autoSpaceDE w:val="0"/>
        <w:autoSpaceDN w:val="0"/>
        <w:adjustRightInd w:val="0"/>
        <w:spacing w:after="120"/>
        <w:rPr>
          <w:rFonts w:cs="Arial"/>
          <w:szCs w:val="24"/>
          <w:lang w:eastAsia="en-GB"/>
        </w:rPr>
      </w:pPr>
      <w:r>
        <w:rPr>
          <w:rFonts w:cs="Arial"/>
          <w:szCs w:val="24"/>
          <w:lang w:eastAsia="en-GB"/>
        </w:rPr>
        <w:t>T</w:t>
      </w:r>
      <w:r w:rsidR="00197A66">
        <w:rPr>
          <w:rFonts w:cs="Arial"/>
          <w:szCs w:val="24"/>
          <w:lang w:eastAsia="en-GB"/>
        </w:rPr>
        <w:t xml:space="preserve">he </w:t>
      </w:r>
      <w:r w:rsidR="00AE6576">
        <w:rPr>
          <w:rFonts w:cs="Arial"/>
          <w:szCs w:val="24"/>
          <w:lang w:eastAsia="en-GB"/>
        </w:rPr>
        <w:t>timing of investigations</w:t>
      </w:r>
      <w:r w:rsidR="00197A66">
        <w:rPr>
          <w:rFonts w:cs="Arial"/>
          <w:szCs w:val="24"/>
          <w:lang w:eastAsia="en-GB"/>
        </w:rPr>
        <w:t>;</w:t>
      </w:r>
    </w:p>
    <w:p w:rsidR="00AE6576" w:rsidRDefault="003E3D3B" w:rsidP="0072371B">
      <w:pPr>
        <w:pStyle w:val="ListParagraph"/>
        <w:numPr>
          <w:ilvl w:val="1"/>
          <w:numId w:val="51"/>
        </w:numPr>
        <w:autoSpaceDE w:val="0"/>
        <w:autoSpaceDN w:val="0"/>
        <w:adjustRightInd w:val="0"/>
        <w:spacing w:after="120"/>
        <w:rPr>
          <w:rFonts w:cs="Arial"/>
          <w:szCs w:val="24"/>
          <w:lang w:eastAsia="en-GB"/>
        </w:rPr>
      </w:pPr>
      <w:r>
        <w:rPr>
          <w:rFonts w:cs="Arial"/>
          <w:szCs w:val="24"/>
          <w:lang w:eastAsia="en-GB"/>
        </w:rPr>
        <w:t>S</w:t>
      </w:r>
      <w:r w:rsidR="00197A66">
        <w:rPr>
          <w:rFonts w:cs="Arial"/>
          <w:szCs w:val="24"/>
          <w:lang w:eastAsia="en-GB"/>
        </w:rPr>
        <w:t xml:space="preserve">haring </w:t>
      </w:r>
      <w:r w:rsidR="00AE6576">
        <w:rPr>
          <w:rFonts w:cs="Arial"/>
          <w:szCs w:val="24"/>
          <w:lang w:eastAsia="en-GB"/>
        </w:rPr>
        <w:t>of information and confidentiality issues</w:t>
      </w:r>
      <w:r w:rsidR="00197A66">
        <w:rPr>
          <w:rFonts w:cs="Arial"/>
          <w:szCs w:val="24"/>
          <w:lang w:eastAsia="en-GB"/>
        </w:rPr>
        <w:t>; and</w:t>
      </w:r>
    </w:p>
    <w:p w:rsidR="00AE6576" w:rsidRDefault="003E3D3B" w:rsidP="0072371B">
      <w:pPr>
        <w:pStyle w:val="ListParagraph"/>
        <w:numPr>
          <w:ilvl w:val="1"/>
          <w:numId w:val="51"/>
        </w:numPr>
        <w:autoSpaceDE w:val="0"/>
        <w:autoSpaceDN w:val="0"/>
        <w:adjustRightInd w:val="0"/>
        <w:spacing w:after="120"/>
        <w:rPr>
          <w:rFonts w:cs="Arial"/>
          <w:szCs w:val="24"/>
          <w:lang w:eastAsia="en-GB"/>
        </w:rPr>
      </w:pPr>
      <w:r>
        <w:rPr>
          <w:rFonts w:cs="Arial"/>
          <w:szCs w:val="24"/>
          <w:lang w:eastAsia="en-GB"/>
        </w:rPr>
        <w:t>C</w:t>
      </w:r>
      <w:r w:rsidR="00197A66">
        <w:rPr>
          <w:rFonts w:cs="Arial"/>
          <w:szCs w:val="24"/>
          <w:lang w:eastAsia="en-GB"/>
        </w:rPr>
        <w:t xml:space="preserve">ommunications </w:t>
      </w:r>
      <w:r w:rsidR="00AE6576">
        <w:rPr>
          <w:rFonts w:cs="Arial"/>
          <w:szCs w:val="24"/>
          <w:lang w:eastAsia="en-GB"/>
        </w:rPr>
        <w:t>with families, carers, staff and the media.</w:t>
      </w:r>
    </w:p>
    <w:p w:rsidR="00AE6576" w:rsidRDefault="00AE6576" w:rsidP="00335DAC">
      <w:pPr>
        <w:pStyle w:val="ListParagraph"/>
        <w:autoSpaceDE w:val="0"/>
        <w:autoSpaceDN w:val="0"/>
        <w:adjustRightInd w:val="0"/>
        <w:spacing w:after="120"/>
        <w:ind w:left="1440"/>
        <w:rPr>
          <w:rFonts w:cs="Arial"/>
          <w:szCs w:val="24"/>
          <w:lang w:eastAsia="en-GB"/>
        </w:rPr>
      </w:pPr>
    </w:p>
    <w:p w:rsidR="00AE6576" w:rsidRPr="00B23031" w:rsidRDefault="00197A66" w:rsidP="000F5987">
      <w:pPr>
        <w:autoSpaceDE w:val="0"/>
        <w:autoSpaceDN w:val="0"/>
        <w:adjustRightInd w:val="0"/>
        <w:spacing w:after="120"/>
        <w:rPr>
          <w:rFonts w:cs="Arial"/>
          <w:szCs w:val="24"/>
          <w:lang w:eastAsia="en-GB"/>
        </w:rPr>
      </w:pPr>
      <w:r>
        <w:rPr>
          <w:rFonts w:cs="Arial"/>
          <w:szCs w:val="24"/>
          <w:lang w:eastAsia="en-GB"/>
        </w:rPr>
        <w:t xml:space="preserve">The </w:t>
      </w:r>
      <w:r w:rsidR="00AE6576" w:rsidRPr="00197A66">
        <w:rPr>
          <w:rFonts w:cs="Arial"/>
          <w:szCs w:val="24"/>
          <w:lang w:eastAsia="en-GB"/>
        </w:rPr>
        <w:t xml:space="preserve">regional investigations team will also ensure that the necessary consent, to access information for the purpose of the investigation </w:t>
      </w:r>
      <w:r w:rsidR="008F7D3A" w:rsidRPr="00197A66">
        <w:rPr>
          <w:rFonts w:cs="Arial"/>
          <w:szCs w:val="24"/>
          <w:lang w:eastAsia="en-GB"/>
        </w:rPr>
        <w:t>and also</w:t>
      </w:r>
      <w:r w:rsidR="00AE6576" w:rsidRPr="0055045C">
        <w:rPr>
          <w:rFonts w:cs="Arial"/>
          <w:szCs w:val="24"/>
          <w:lang w:eastAsia="en-GB"/>
        </w:rPr>
        <w:t xml:space="preserve"> to share information with the victim’s family, is sought as required at the earliest opportunity. </w:t>
      </w:r>
    </w:p>
    <w:p w:rsidR="00C65496" w:rsidRDefault="00C65496" w:rsidP="00C65496">
      <w:pPr>
        <w:pStyle w:val="ListParagraph"/>
        <w:autoSpaceDE w:val="0"/>
        <w:autoSpaceDN w:val="0"/>
        <w:adjustRightInd w:val="0"/>
        <w:spacing w:after="120"/>
        <w:rPr>
          <w:rFonts w:cs="Arial"/>
          <w:szCs w:val="24"/>
          <w:lang w:eastAsia="en-GB"/>
        </w:rPr>
      </w:pPr>
    </w:p>
    <w:p w:rsidR="00385044" w:rsidRDefault="00385044" w:rsidP="00C65496">
      <w:pPr>
        <w:pStyle w:val="ListParagraph"/>
        <w:autoSpaceDE w:val="0"/>
        <w:autoSpaceDN w:val="0"/>
        <w:adjustRightInd w:val="0"/>
        <w:spacing w:after="120"/>
        <w:rPr>
          <w:rFonts w:cs="Arial"/>
          <w:szCs w:val="24"/>
          <w:lang w:eastAsia="en-GB"/>
        </w:rPr>
      </w:pPr>
    </w:p>
    <w:p w:rsidR="00385044" w:rsidRDefault="00385044" w:rsidP="00C65496">
      <w:pPr>
        <w:pStyle w:val="ListParagraph"/>
        <w:autoSpaceDE w:val="0"/>
        <w:autoSpaceDN w:val="0"/>
        <w:adjustRightInd w:val="0"/>
        <w:spacing w:after="120"/>
        <w:rPr>
          <w:rFonts w:cs="Arial"/>
          <w:szCs w:val="24"/>
          <w:lang w:eastAsia="en-GB"/>
        </w:rPr>
      </w:pPr>
    </w:p>
    <w:p w:rsidR="00385044" w:rsidRDefault="00385044" w:rsidP="00C65496">
      <w:pPr>
        <w:pStyle w:val="ListParagraph"/>
        <w:autoSpaceDE w:val="0"/>
        <w:autoSpaceDN w:val="0"/>
        <w:adjustRightInd w:val="0"/>
        <w:spacing w:after="120"/>
        <w:rPr>
          <w:rFonts w:cs="Arial"/>
          <w:szCs w:val="24"/>
          <w:lang w:eastAsia="en-GB"/>
        </w:rPr>
      </w:pPr>
    </w:p>
    <w:p w:rsidR="00385044" w:rsidRDefault="00385044" w:rsidP="00C65496">
      <w:pPr>
        <w:pStyle w:val="ListParagraph"/>
        <w:autoSpaceDE w:val="0"/>
        <w:autoSpaceDN w:val="0"/>
        <w:adjustRightInd w:val="0"/>
        <w:spacing w:after="120"/>
        <w:rPr>
          <w:rFonts w:cs="Arial"/>
          <w:szCs w:val="24"/>
          <w:lang w:eastAsia="en-GB"/>
        </w:rPr>
      </w:pPr>
    </w:p>
    <w:p w:rsidR="00385044" w:rsidRDefault="00385044" w:rsidP="0058419C">
      <w:pPr>
        <w:spacing w:after="120"/>
        <w:rPr>
          <w:rFonts w:cs="Arial"/>
          <w:b/>
          <w:szCs w:val="24"/>
          <w:u w:val="single"/>
        </w:rPr>
      </w:pPr>
      <w:r>
        <w:rPr>
          <w:rFonts w:cs="Arial"/>
          <w:b/>
          <w:noProof/>
          <w:szCs w:val="24"/>
          <w:u w:val="single"/>
          <w:lang w:eastAsia="en-GB"/>
        </w:rPr>
        <w:lastRenderedPageBreak/>
        <mc:AlternateContent>
          <mc:Choice Requires="wps">
            <w:drawing>
              <wp:anchor distT="0" distB="0" distL="114300" distR="114300" simplePos="0" relativeHeight="251704832" behindDoc="0" locked="0" layoutInCell="1" allowOverlap="1" wp14:anchorId="01599326" wp14:editId="646ECEC0">
                <wp:simplePos x="0" y="0"/>
                <wp:positionH relativeFrom="column">
                  <wp:posOffset>83185</wp:posOffset>
                </wp:positionH>
                <wp:positionV relativeFrom="paragraph">
                  <wp:posOffset>44450</wp:posOffset>
                </wp:positionV>
                <wp:extent cx="6132195" cy="3110865"/>
                <wp:effectExtent l="76200" t="38100" r="97155" b="108585"/>
                <wp:wrapSquare wrapText="bothSides"/>
                <wp:docPr id="201" name="Rounded Rectangle 201"/>
                <wp:cNvGraphicFramePr/>
                <a:graphic xmlns:a="http://schemas.openxmlformats.org/drawingml/2006/main">
                  <a:graphicData uri="http://schemas.microsoft.com/office/word/2010/wordprocessingShape">
                    <wps:wsp>
                      <wps:cNvSpPr/>
                      <wps:spPr>
                        <a:xfrm>
                          <a:off x="0" y="0"/>
                          <a:ext cx="6132195" cy="3110865"/>
                        </a:xfrm>
                        <a:prstGeom prst="roundRect">
                          <a:avLst/>
                        </a:prstGeom>
                        <a:ln/>
                      </wps:spPr>
                      <wps:style>
                        <a:lnRef idx="0">
                          <a:schemeClr val="accent4"/>
                        </a:lnRef>
                        <a:fillRef idx="3">
                          <a:schemeClr val="accent4"/>
                        </a:fillRef>
                        <a:effectRef idx="3">
                          <a:schemeClr val="accent4"/>
                        </a:effectRef>
                        <a:fontRef idx="minor">
                          <a:schemeClr val="lt1"/>
                        </a:fontRef>
                      </wps:style>
                      <wps:txbx>
                        <w:txbxContent>
                          <w:p w:rsidR="0098525C" w:rsidRPr="00C65496" w:rsidRDefault="0098525C" w:rsidP="00385044">
                            <w:pPr>
                              <w:autoSpaceDE w:val="0"/>
                              <w:autoSpaceDN w:val="0"/>
                              <w:adjustRightInd w:val="0"/>
                              <w:spacing w:after="120"/>
                              <w:jc w:val="center"/>
                              <w:rPr>
                                <w:rFonts w:cs="Arial"/>
                                <w:szCs w:val="24"/>
                                <w:lang w:eastAsia="en-GB"/>
                              </w:rPr>
                            </w:pPr>
                            <w:r w:rsidRPr="00C65496">
                              <w:rPr>
                                <w:rFonts w:cs="Arial"/>
                                <w:b/>
                                <w:szCs w:val="24"/>
                              </w:rPr>
                              <w:t>The Standard Operating Model</w:t>
                            </w:r>
                          </w:p>
                          <w:p w:rsidR="0098525C" w:rsidRDefault="0098525C" w:rsidP="00982855">
                            <w:pPr>
                              <w:tabs>
                                <w:tab w:val="left" w:pos="720"/>
                                <w:tab w:val="left" w:pos="2520"/>
                                <w:tab w:val="left" w:pos="6480"/>
                              </w:tabs>
                              <w:spacing w:after="120"/>
                              <w:jc w:val="center"/>
                              <w:rPr>
                                <w:rFonts w:cs="Arial"/>
                                <w:szCs w:val="24"/>
                              </w:rPr>
                            </w:pPr>
                            <w:r w:rsidRPr="0058419C">
                              <w:rPr>
                                <w:rFonts w:cs="Arial"/>
                                <w:szCs w:val="24"/>
                              </w:rPr>
                              <w:t>The reporting requirements and information exchange within the model has three defined stages:</w:t>
                            </w:r>
                          </w:p>
                          <w:p w:rsidR="0098525C" w:rsidRPr="0058419C" w:rsidRDefault="0098525C" w:rsidP="00385044">
                            <w:pPr>
                              <w:tabs>
                                <w:tab w:val="left" w:pos="720"/>
                                <w:tab w:val="left" w:pos="2520"/>
                                <w:tab w:val="left" w:pos="6480"/>
                              </w:tabs>
                              <w:spacing w:after="120"/>
                              <w:rPr>
                                <w:rFonts w:cs="Arial"/>
                                <w:szCs w:val="24"/>
                              </w:rPr>
                            </w:pPr>
                          </w:p>
                          <w:p w:rsidR="0098525C" w:rsidRPr="0058419C" w:rsidRDefault="0098525C" w:rsidP="0072371B">
                            <w:pPr>
                              <w:numPr>
                                <w:ilvl w:val="0"/>
                                <w:numId w:val="50"/>
                              </w:numPr>
                              <w:tabs>
                                <w:tab w:val="left" w:pos="1134"/>
                                <w:tab w:val="left" w:pos="2520"/>
                                <w:tab w:val="left" w:pos="6480"/>
                              </w:tabs>
                              <w:spacing w:after="120" w:line="276" w:lineRule="auto"/>
                              <w:ind w:left="1134" w:hanging="425"/>
                              <w:rPr>
                                <w:rFonts w:cs="Arial"/>
                                <w:szCs w:val="24"/>
                              </w:rPr>
                            </w:pPr>
                            <w:r w:rsidRPr="0058419C">
                              <w:rPr>
                                <w:rFonts w:cs="Arial"/>
                                <w:szCs w:val="24"/>
                              </w:rPr>
                              <w:t>Providers report an incident through the NHS serious incident management system (</w:t>
                            </w:r>
                            <w:r w:rsidRPr="0058419C">
                              <w:rPr>
                                <w:rFonts w:eastAsia="Calibri" w:cs="Arial"/>
                                <w:szCs w:val="24"/>
                              </w:rPr>
                              <w:t xml:space="preserve">STEIS) or its successor </w:t>
                            </w:r>
                            <w:r>
                              <w:rPr>
                                <w:rFonts w:cs="Arial"/>
                                <w:szCs w:val="24"/>
                              </w:rPr>
                              <w:t xml:space="preserve">mechanism and conducts </w:t>
                            </w:r>
                            <w:r w:rsidRPr="0058419C">
                              <w:rPr>
                                <w:rFonts w:cs="Arial"/>
                                <w:szCs w:val="24"/>
                              </w:rPr>
                              <w:t>an initial  review and produce a 72 hour report:</w:t>
                            </w:r>
                          </w:p>
                          <w:p w:rsidR="0098525C" w:rsidRPr="0058419C" w:rsidRDefault="0098525C" w:rsidP="0072371B">
                            <w:pPr>
                              <w:numPr>
                                <w:ilvl w:val="0"/>
                                <w:numId w:val="50"/>
                              </w:numPr>
                              <w:tabs>
                                <w:tab w:val="left" w:pos="1134"/>
                                <w:tab w:val="left" w:pos="2520"/>
                                <w:tab w:val="left" w:pos="6480"/>
                              </w:tabs>
                              <w:spacing w:after="120" w:line="276" w:lineRule="auto"/>
                              <w:ind w:left="1134" w:hanging="425"/>
                              <w:rPr>
                                <w:rFonts w:cs="Arial"/>
                                <w:szCs w:val="24"/>
                              </w:rPr>
                            </w:pPr>
                            <w:r w:rsidRPr="0058419C">
                              <w:rPr>
                                <w:rFonts w:cs="Arial"/>
                                <w:szCs w:val="24"/>
                              </w:rPr>
                              <w:t>Providers conduct an internal investigation and produce</w:t>
                            </w:r>
                            <w:r>
                              <w:rPr>
                                <w:rFonts w:cs="Arial"/>
                                <w:szCs w:val="24"/>
                              </w:rPr>
                              <w:t>s</w:t>
                            </w:r>
                            <w:r w:rsidRPr="0058419C">
                              <w:rPr>
                                <w:rFonts w:cs="Arial"/>
                                <w:szCs w:val="24"/>
                              </w:rPr>
                              <w:t xml:space="preserve"> a</w:t>
                            </w:r>
                            <w:r>
                              <w:rPr>
                                <w:rFonts w:cs="Arial"/>
                                <w:szCs w:val="24"/>
                              </w:rPr>
                              <w:t>n</w:t>
                            </w:r>
                            <w:r w:rsidRPr="0058419C">
                              <w:rPr>
                                <w:rFonts w:cs="Arial"/>
                                <w:szCs w:val="24"/>
                              </w:rPr>
                              <w:t xml:space="preserve"> </w:t>
                            </w:r>
                            <w:r>
                              <w:rPr>
                                <w:rFonts w:cs="Arial"/>
                                <w:szCs w:val="24"/>
                              </w:rPr>
                              <w:t>investigation report within 60 days</w:t>
                            </w:r>
                            <w:r w:rsidRPr="0058419C">
                              <w:rPr>
                                <w:rFonts w:cs="Arial"/>
                                <w:szCs w:val="24"/>
                              </w:rPr>
                              <w:t>:</w:t>
                            </w:r>
                          </w:p>
                          <w:p w:rsidR="0098525C" w:rsidRPr="0058419C" w:rsidRDefault="0098525C" w:rsidP="0072371B">
                            <w:pPr>
                              <w:numPr>
                                <w:ilvl w:val="0"/>
                                <w:numId w:val="50"/>
                              </w:numPr>
                              <w:tabs>
                                <w:tab w:val="left" w:pos="1134"/>
                                <w:tab w:val="left" w:pos="2520"/>
                                <w:tab w:val="left" w:pos="6480"/>
                              </w:tabs>
                              <w:spacing w:after="120" w:line="276" w:lineRule="auto"/>
                              <w:ind w:left="1134" w:hanging="425"/>
                              <w:rPr>
                                <w:rFonts w:cs="Arial"/>
                                <w:szCs w:val="24"/>
                              </w:rPr>
                            </w:pPr>
                            <w:r w:rsidRPr="0058419C">
                              <w:rPr>
                                <w:rFonts w:cs="Arial"/>
                                <w:szCs w:val="24"/>
                              </w:rPr>
                              <w:t xml:space="preserve">The NHS England </w:t>
                            </w:r>
                            <w:r>
                              <w:rPr>
                                <w:rFonts w:cs="Arial"/>
                                <w:szCs w:val="24"/>
                              </w:rPr>
                              <w:t xml:space="preserve">Regional Investigation Teams in conjunctions with the </w:t>
                            </w:r>
                            <w:r w:rsidRPr="0058419C">
                              <w:rPr>
                                <w:rFonts w:cs="Arial"/>
                                <w:szCs w:val="24"/>
                              </w:rPr>
                              <w:t>Independent Investigations Review Group (IIRG) reviews these reports and considers commissioning an independent investigation.</w:t>
                            </w:r>
                          </w:p>
                          <w:p w:rsidR="0098525C" w:rsidRDefault="0098525C" w:rsidP="003850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01" o:spid="_x0000_s1082" style="position:absolute;margin-left:6.55pt;margin-top:3.5pt;width:482.85pt;height:244.95pt;z-index:251704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" fillcolor="#004966 [1639]" stroked="f">
                <v:fill color2="#0087bc [3015]" rotate="t" angle="180" colors="0 #0074ab;52429f #0099e0;1 #009ce6" focus="100%" type="gradient">
                  <o:fill v:ext="view" type="gradientUnscaled"/>
                </v:fill>
                <v:shadow on="t" color="black" opacity="22937f" origin=",.5" offset="0,.63889mm"/>
                <v:textbox>
                  <w:txbxContent>
                    <w:p w:rsidR="0098525C" w:rsidRPr="00C65496" w:rsidRDefault="0098525C" w:rsidP="00385044">
                      <w:pPr>
                        <w:autoSpaceDE w:val="0"/>
                        <w:autoSpaceDN w:val="0"/>
                        <w:adjustRightInd w:val="0"/>
                        <w:spacing w:after="120"/>
                        <w:jc w:val="center"/>
                        <w:rPr>
                          <w:rFonts w:cs="Arial"/>
                          <w:szCs w:val="24"/>
                          <w:lang w:eastAsia="en-GB"/>
                        </w:rPr>
                      </w:pPr>
                      <w:r w:rsidRPr="00C65496">
                        <w:rPr>
                          <w:rFonts w:cs="Arial"/>
                          <w:b/>
                          <w:szCs w:val="24"/>
                        </w:rPr>
                        <w:t>The Standard Operating Model</w:t>
                      </w:r>
                    </w:p>
                    <w:p w:rsidR="0098525C" w:rsidRDefault="0098525C" w:rsidP="00982855">
                      <w:pPr>
                        <w:tabs>
                          <w:tab w:val="left" w:pos="720"/>
                          <w:tab w:val="left" w:pos="2520"/>
                          <w:tab w:val="left" w:pos="6480"/>
                        </w:tabs>
                        <w:spacing w:after="120"/>
                        <w:jc w:val="center"/>
                        <w:rPr>
                          <w:rFonts w:cs="Arial"/>
                          <w:szCs w:val="24"/>
                        </w:rPr>
                      </w:pPr>
                      <w:r w:rsidRPr="0058419C">
                        <w:rPr>
                          <w:rFonts w:cs="Arial"/>
                          <w:szCs w:val="24"/>
                        </w:rPr>
                        <w:t>The reporting requirements and information exchange within the model has three defined stages:</w:t>
                      </w:r>
                    </w:p>
                    <w:p w:rsidR="0098525C" w:rsidRPr="0058419C" w:rsidRDefault="0098525C" w:rsidP="00385044">
                      <w:pPr>
                        <w:tabs>
                          <w:tab w:val="left" w:pos="720"/>
                          <w:tab w:val="left" w:pos="2520"/>
                          <w:tab w:val="left" w:pos="6480"/>
                        </w:tabs>
                        <w:spacing w:after="120"/>
                        <w:rPr>
                          <w:rFonts w:cs="Arial"/>
                          <w:szCs w:val="24"/>
                        </w:rPr>
                      </w:pPr>
                    </w:p>
                    <w:p w:rsidR="0098525C" w:rsidRPr="0058419C" w:rsidRDefault="0098525C" w:rsidP="0072371B">
                      <w:pPr>
                        <w:numPr>
                          <w:ilvl w:val="0"/>
                          <w:numId w:val="50"/>
                        </w:numPr>
                        <w:tabs>
                          <w:tab w:val="left" w:pos="1134"/>
                          <w:tab w:val="left" w:pos="2520"/>
                          <w:tab w:val="left" w:pos="6480"/>
                        </w:tabs>
                        <w:spacing w:after="120" w:line="276" w:lineRule="auto"/>
                        <w:ind w:left="1134" w:hanging="425"/>
                        <w:rPr>
                          <w:rFonts w:cs="Arial"/>
                          <w:szCs w:val="24"/>
                        </w:rPr>
                      </w:pPr>
                      <w:r w:rsidRPr="0058419C">
                        <w:rPr>
                          <w:rFonts w:cs="Arial"/>
                          <w:szCs w:val="24"/>
                        </w:rPr>
                        <w:t>Providers report an incident through the NHS serious incident management system (</w:t>
                      </w:r>
                      <w:r w:rsidRPr="0058419C">
                        <w:rPr>
                          <w:rFonts w:eastAsia="Calibri" w:cs="Arial"/>
                          <w:szCs w:val="24"/>
                        </w:rPr>
                        <w:t xml:space="preserve">STEIS) or its successor </w:t>
                      </w:r>
                      <w:r>
                        <w:rPr>
                          <w:rFonts w:cs="Arial"/>
                          <w:szCs w:val="24"/>
                        </w:rPr>
                        <w:t xml:space="preserve">mechanism and conducts </w:t>
                      </w:r>
                      <w:r w:rsidRPr="0058419C">
                        <w:rPr>
                          <w:rFonts w:cs="Arial"/>
                          <w:szCs w:val="24"/>
                        </w:rPr>
                        <w:t>an initial  review and produce a 72 hour report:</w:t>
                      </w:r>
                    </w:p>
                    <w:p w:rsidR="0098525C" w:rsidRPr="0058419C" w:rsidRDefault="0098525C" w:rsidP="0072371B">
                      <w:pPr>
                        <w:numPr>
                          <w:ilvl w:val="0"/>
                          <w:numId w:val="50"/>
                        </w:numPr>
                        <w:tabs>
                          <w:tab w:val="left" w:pos="1134"/>
                          <w:tab w:val="left" w:pos="2520"/>
                          <w:tab w:val="left" w:pos="6480"/>
                        </w:tabs>
                        <w:spacing w:after="120" w:line="276" w:lineRule="auto"/>
                        <w:ind w:left="1134" w:hanging="425"/>
                        <w:rPr>
                          <w:rFonts w:cs="Arial"/>
                          <w:szCs w:val="24"/>
                        </w:rPr>
                      </w:pPr>
                      <w:r w:rsidRPr="0058419C">
                        <w:rPr>
                          <w:rFonts w:cs="Arial"/>
                          <w:szCs w:val="24"/>
                        </w:rPr>
                        <w:t>Providers conduct an internal investigation and produce</w:t>
                      </w:r>
                      <w:r>
                        <w:rPr>
                          <w:rFonts w:cs="Arial"/>
                          <w:szCs w:val="24"/>
                        </w:rPr>
                        <w:t>s</w:t>
                      </w:r>
                      <w:r w:rsidRPr="0058419C">
                        <w:rPr>
                          <w:rFonts w:cs="Arial"/>
                          <w:szCs w:val="24"/>
                        </w:rPr>
                        <w:t xml:space="preserve"> a</w:t>
                      </w:r>
                      <w:r>
                        <w:rPr>
                          <w:rFonts w:cs="Arial"/>
                          <w:szCs w:val="24"/>
                        </w:rPr>
                        <w:t>n</w:t>
                      </w:r>
                      <w:r w:rsidRPr="0058419C">
                        <w:rPr>
                          <w:rFonts w:cs="Arial"/>
                          <w:szCs w:val="24"/>
                        </w:rPr>
                        <w:t xml:space="preserve"> </w:t>
                      </w:r>
                      <w:r>
                        <w:rPr>
                          <w:rFonts w:cs="Arial"/>
                          <w:szCs w:val="24"/>
                        </w:rPr>
                        <w:t>investigation report within 60 days</w:t>
                      </w:r>
                      <w:r w:rsidRPr="0058419C">
                        <w:rPr>
                          <w:rFonts w:cs="Arial"/>
                          <w:szCs w:val="24"/>
                        </w:rPr>
                        <w:t>:</w:t>
                      </w:r>
                    </w:p>
                    <w:p w:rsidR="0098525C" w:rsidRPr="0058419C" w:rsidRDefault="0098525C" w:rsidP="0072371B">
                      <w:pPr>
                        <w:numPr>
                          <w:ilvl w:val="0"/>
                          <w:numId w:val="50"/>
                        </w:numPr>
                        <w:tabs>
                          <w:tab w:val="left" w:pos="1134"/>
                          <w:tab w:val="left" w:pos="2520"/>
                          <w:tab w:val="left" w:pos="6480"/>
                        </w:tabs>
                        <w:spacing w:after="120" w:line="276" w:lineRule="auto"/>
                        <w:ind w:left="1134" w:hanging="425"/>
                        <w:rPr>
                          <w:rFonts w:cs="Arial"/>
                          <w:szCs w:val="24"/>
                        </w:rPr>
                      </w:pPr>
                      <w:r w:rsidRPr="0058419C">
                        <w:rPr>
                          <w:rFonts w:cs="Arial"/>
                          <w:szCs w:val="24"/>
                        </w:rPr>
                        <w:t xml:space="preserve">The NHS England </w:t>
                      </w:r>
                      <w:r>
                        <w:rPr>
                          <w:rFonts w:cs="Arial"/>
                          <w:szCs w:val="24"/>
                        </w:rPr>
                        <w:t xml:space="preserve">Regional Investigation Teams in conjunctions with the </w:t>
                      </w:r>
                      <w:r w:rsidRPr="0058419C">
                        <w:rPr>
                          <w:rFonts w:cs="Arial"/>
                          <w:szCs w:val="24"/>
                        </w:rPr>
                        <w:t>Independent Investigations Review Group (IIRG) reviews these reports and considers commissioning an independent investigation.</w:t>
                      </w:r>
                    </w:p>
                    <w:p w:rsidR="0098525C" w:rsidRDefault="0098525C" w:rsidP="00385044">
                      <w:pPr>
                        <w:jc w:val="center"/>
                      </w:pPr>
                    </w:p>
                  </w:txbxContent>
                </v:textbox>
                <w10:wrap type="square"/>
              </v:roundrect>
            </w:pict>
          </mc:Fallback>
        </mc:AlternateContent>
      </w:r>
    </w:p>
    <w:p w:rsidR="0058419C" w:rsidRPr="0058419C" w:rsidRDefault="0058419C" w:rsidP="0058419C">
      <w:pPr>
        <w:spacing w:after="120"/>
        <w:rPr>
          <w:rFonts w:cs="Arial"/>
          <w:b/>
          <w:szCs w:val="24"/>
        </w:rPr>
      </w:pPr>
      <w:r w:rsidRPr="0058419C">
        <w:rPr>
          <w:rFonts w:cs="Arial"/>
          <w:b/>
          <w:szCs w:val="24"/>
          <w:u w:val="single"/>
        </w:rPr>
        <w:t>Stage 1</w:t>
      </w:r>
      <w:r w:rsidRPr="0058419C">
        <w:rPr>
          <w:rFonts w:cs="Arial"/>
          <w:b/>
          <w:szCs w:val="24"/>
        </w:rPr>
        <w:t xml:space="preserve"> - Incident reporting to the NHS serious incident management system, STEIS, or its successor, the initial 72-hour service management review and report</w:t>
      </w:r>
    </w:p>
    <w:p w:rsidR="00BE15C7" w:rsidRPr="0055045C" w:rsidRDefault="0058419C" w:rsidP="0072371B">
      <w:pPr>
        <w:pStyle w:val="ListParagraph"/>
        <w:numPr>
          <w:ilvl w:val="0"/>
          <w:numId w:val="55"/>
        </w:numPr>
        <w:tabs>
          <w:tab w:val="left" w:pos="720"/>
          <w:tab w:val="left" w:pos="2520"/>
          <w:tab w:val="left" w:pos="6480"/>
        </w:tabs>
        <w:spacing w:after="120"/>
        <w:ind w:left="426" w:hanging="426"/>
        <w:rPr>
          <w:rFonts w:eastAsia="Calibri" w:cs="Arial"/>
          <w:szCs w:val="24"/>
        </w:rPr>
      </w:pPr>
      <w:r w:rsidRPr="00B62385">
        <w:rPr>
          <w:rFonts w:eastAsia="Calibri" w:cs="Arial"/>
          <w:szCs w:val="24"/>
        </w:rPr>
        <w:t xml:space="preserve">In the event of an incident the provider should enter all relevant and known details about the incident on the NHS serious incident management system (STEIS or its successor). The provider should inform the NHS England </w:t>
      </w:r>
      <w:r w:rsidR="000A74CD">
        <w:rPr>
          <w:rFonts w:eastAsia="Calibri" w:cs="Arial"/>
          <w:szCs w:val="24"/>
        </w:rPr>
        <w:t>Sub-region</w:t>
      </w:r>
      <w:r w:rsidR="004B188D">
        <w:rPr>
          <w:rFonts w:eastAsia="Calibri" w:cs="Arial"/>
          <w:szCs w:val="24"/>
        </w:rPr>
        <w:t xml:space="preserve"> quality lead, and the</w:t>
      </w:r>
      <w:r w:rsidRPr="00B62385">
        <w:rPr>
          <w:rFonts w:eastAsia="Calibri" w:cs="Arial"/>
          <w:szCs w:val="24"/>
        </w:rPr>
        <w:t xml:space="preserve"> </w:t>
      </w:r>
      <w:r w:rsidR="004B188D">
        <w:rPr>
          <w:rFonts w:eastAsia="Calibri" w:cs="Arial"/>
          <w:szCs w:val="24"/>
        </w:rPr>
        <w:t xml:space="preserve">relevant </w:t>
      </w:r>
      <w:r w:rsidRPr="00B62385">
        <w:rPr>
          <w:rFonts w:eastAsia="Calibri" w:cs="Arial"/>
          <w:szCs w:val="24"/>
        </w:rPr>
        <w:t>CCG incident/quality lead</w:t>
      </w:r>
      <w:r w:rsidR="004B188D">
        <w:rPr>
          <w:rStyle w:val="FootnoteReference"/>
          <w:rFonts w:eastAsia="Calibri" w:cs="Arial"/>
          <w:szCs w:val="24"/>
        </w:rPr>
        <w:footnoteReference w:id="50"/>
      </w:r>
      <w:r w:rsidRPr="00B62385">
        <w:rPr>
          <w:rFonts w:eastAsia="Calibri" w:cs="Arial"/>
          <w:szCs w:val="24"/>
        </w:rPr>
        <w:t xml:space="preserve">. </w:t>
      </w:r>
    </w:p>
    <w:p w:rsidR="002F37ED" w:rsidRPr="0055045C" w:rsidRDefault="0058419C" w:rsidP="0072371B">
      <w:pPr>
        <w:pStyle w:val="ListParagraph"/>
        <w:numPr>
          <w:ilvl w:val="0"/>
          <w:numId w:val="55"/>
        </w:numPr>
        <w:tabs>
          <w:tab w:val="left" w:pos="720"/>
          <w:tab w:val="left" w:pos="2520"/>
          <w:tab w:val="left" w:pos="6480"/>
        </w:tabs>
        <w:spacing w:after="120"/>
        <w:ind w:left="426" w:hanging="426"/>
        <w:rPr>
          <w:rFonts w:eastAsia="Calibri" w:cs="Arial"/>
          <w:szCs w:val="24"/>
        </w:rPr>
      </w:pPr>
      <w:r w:rsidRPr="002F37ED">
        <w:rPr>
          <w:rFonts w:eastAsia="Calibri" w:cs="Arial"/>
          <w:szCs w:val="24"/>
        </w:rPr>
        <w:t xml:space="preserve">The NHS England </w:t>
      </w:r>
      <w:r w:rsidR="000A74CD" w:rsidRPr="002F37ED">
        <w:rPr>
          <w:rFonts w:eastAsia="Calibri" w:cs="Arial"/>
          <w:szCs w:val="24"/>
        </w:rPr>
        <w:t>sub-region</w:t>
      </w:r>
      <w:r w:rsidRPr="002F37ED">
        <w:rPr>
          <w:rFonts w:eastAsia="Calibri" w:cs="Arial"/>
          <w:szCs w:val="24"/>
        </w:rPr>
        <w:t xml:space="preserve"> quality lead will alert </w:t>
      </w:r>
      <w:r w:rsidR="004B188D">
        <w:rPr>
          <w:rFonts w:eastAsia="Calibri" w:cs="Arial"/>
          <w:szCs w:val="24"/>
        </w:rPr>
        <w:t>the Regional investigations t</w:t>
      </w:r>
      <w:r w:rsidRPr="002F37ED">
        <w:rPr>
          <w:rFonts w:eastAsia="Calibri" w:cs="Arial"/>
          <w:szCs w:val="24"/>
        </w:rPr>
        <w:t>eam v</w:t>
      </w:r>
      <w:r w:rsidR="004B188D">
        <w:rPr>
          <w:rFonts w:eastAsia="Calibri" w:cs="Arial"/>
          <w:szCs w:val="24"/>
        </w:rPr>
        <w:t>ia the Regional investigations t</w:t>
      </w:r>
      <w:r w:rsidRPr="002F37ED">
        <w:rPr>
          <w:rFonts w:eastAsia="Calibri" w:cs="Arial"/>
          <w:szCs w:val="24"/>
        </w:rPr>
        <w:t>eam e-mail account and work with an identified lead in the CCG who will ensure a</w:t>
      </w:r>
      <w:r w:rsidR="004B188D">
        <w:rPr>
          <w:rFonts w:eastAsia="Calibri" w:cs="Arial"/>
          <w:szCs w:val="24"/>
        </w:rPr>
        <w:t>n</w:t>
      </w:r>
      <w:r w:rsidRPr="002F37ED">
        <w:rPr>
          <w:rFonts w:eastAsia="Calibri" w:cs="Arial"/>
          <w:szCs w:val="24"/>
        </w:rPr>
        <w:t xml:space="preserve"> </w:t>
      </w:r>
      <w:r w:rsidR="00DE1546" w:rsidRPr="002F37ED">
        <w:rPr>
          <w:rFonts w:eastAsia="Calibri" w:cs="Arial"/>
          <w:szCs w:val="24"/>
        </w:rPr>
        <w:t xml:space="preserve">initial </w:t>
      </w:r>
      <w:r w:rsidRPr="002F37ED">
        <w:rPr>
          <w:rFonts w:eastAsia="Calibri" w:cs="Arial"/>
          <w:szCs w:val="24"/>
        </w:rPr>
        <w:t>72-hour review is completed by the provider.</w:t>
      </w:r>
    </w:p>
    <w:p w:rsidR="00B62385" w:rsidRPr="0055045C" w:rsidRDefault="0058419C" w:rsidP="0072371B">
      <w:pPr>
        <w:pStyle w:val="ListParagraph"/>
        <w:numPr>
          <w:ilvl w:val="0"/>
          <w:numId w:val="55"/>
        </w:numPr>
        <w:tabs>
          <w:tab w:val="left" w:pos="720"/>
          <w:tab w:val="left" w:pos="2520"/>
          <w:tab w:val="left" w:pos="6480"/>
        </w:tabs>
        <w:spacing w:after="120"/>
        <w:ind w:left="426" w:hanging="426"/>
        <w:rPr>
          <w:rFonts w:eastAsia="Calibri" w:cs="Arial"/>
          <w:szCs w:val="24"/>
        </w:rPr>
      </w:pPr>
      <w:r w:rsidRPr="00B62385">
        <w:rPr>
          <w:rFonts w:eastAsia="Calibri" w:cs="Arial"/>
          <w:szCs w:val="24"/>
        </w:rPr>
        <w:t>The aim of the review is to cover necessary immediate action with respect to</w:t>
      </w:r>
      <w:r w:rsidR="00197A66">
        <w:rPr>
          <w:rFonts w:eastAsia="Calibri" w:cs="Arial"/>
          <w:szCs w:val="24"/>
        </w:rPr>
        <w:t>;</w:t>
      </w:r>
    </w:p>
    <w:p w:rsidR="0058419C" w:rsidRPr="0058419C" w:rsidRDefault="00770B1B" w:rsidP="0072371B">
      <w:pPr>
        <w:pStyle w:val="ListParagraph"/>
        <w:numPr>
          <w:ilvl w:val="0"/>
          <w:numId w:val="54"/>
        </w:numPr>
        <w:tabs>
          <w:tab w:val="left" w:pos="720"/>
          <w:tab w:val="left" w:pos="2520"/>
          <w:tab w:val="left" w:pos="6480"/>
        </w:tabs>
        <w:spacing w:after="120" w:line="276" w:lineRule="auto"/>
        <w:rPr>
          <w:rFonts w:cs="Arial"/>
          <w:szCs w:val="24"/>
        </w:rPr>
      </w:pPr>
      <w:r>
        <w:rPr>
          <w:rFonts w:cs="Arial"/>
          <w:szCs w:val="24"/>
        </w:rPr>
        <w:t>I</w:t>
      </w:r>
      <w:r w:rsidR="0058419C" w:rsidRPr="0058419C">
        <w:rPr>
          <w:rFonts w:cs="Arial"/>
          <w:szCs w:val="24"/>
        </w:rPr>
        <w:t>dentifying and providing assurance that the safety of staff, patients and the public is</w:t>
      </w:r>
      <w:r w:rsidR="00F44547">
        <w:rPr>
          <w:rFonts w:cs="Arial"/>
          <w:szCs w:val="24"/>
        </w:rPr>
        <w:t xml:space="preserve"> protected</w:t>
      </w:r>
      <w:r w:rsidR="0058419C" w:rsidRPr="0058419C">
        <w:rPr>
          <w:rFonts w:cs="Arial"/>
          <w:szCs w:val="24"/>
        </w:rPr>
        <w:t>;</w:t>
      </w:r>
    </w:p>
    <w:p w:rsidR="0058419C" w:rsidRPr="0058419C" w:rsidRDefault="00770B1B" w:rsidP="0072371B">
      <w:pPr>
        <w:pStyle w:val="ListParagraph"/>
        <w:numPr>
          <w:ilvl w:val="0"/>
          <w:numId w:val="54"/>
        </w:numPr>
        <w:tabs>
          <w:tab w:val="left" w:pos="720"/>
          <w:tab w:val="left" w:pos="2520"/>
          <w:tab w:val="left" w:pos="6480"/>
        </w:tabs>
        <w:spacing w:after="120" w:line="276" w:lineRule="auto"/>
        <w:rPr>
          <w:rFonts w:cs="Arial"/>
          <w:szCs w:val="24"/>
        </w:rPr>
      </w:pPr>
      <w:r>
        <w:rPr>
          <w:rFonts w:cs="Arial"/>
          <w:szCs w:val="24"/>
        </w:rPr>
        <w:t>A</w:t>
      </w:r>
      <w:r w:rsidR="0058419C" w:rsidRPr="0058419C">
        <w:rPr>
          <w:rFonts w:cs="Arial"/>
          <w:szCs w:val="24"/>
        </w:rPr>
        <w:t xml:space="preserve">ssessing the incident in more detail (and to confirm if the incident requires a full investigation); </w:t>
      </w:r>
    </w:p>
    <w:p w:rsidR="0058419C" w:rsidRPr="0058419C" w:rsidRDefault="00770B1B" w:rsidP="0072371B">
      <w:pPr>
        <w:pStyle w:val="ListParagraph"/>
        <w:numPr>
          <w:ilvl w:val="0"/>
          <w:numId w:val="54"/>
        </w:numPr>
        <w:tabs>
          <w:tab w:val="left" w:pos="720"/>
          <w:tab w:val="left" w:pos="2520"/>
          <w:tab w:val="left" w:pos="6480"/>
        </w:tabs>
        <w:spacing w:after="120" w:line="276" w:lineRule="auto"/>
        <w:rPr>
          <w:rFonts w:cs="Arial"/>
          <w:szCs w:val="24"/>
        </w:rPr>
      </w:pPr>
      <w:r>
        <w:rPr>
          <w:rFonts w:cs="Arial"/>
          <w:szCs w:val="24"/>
        </w:rPr>
        <w:t>P</w:t>
      </w:r>
      <w:r w:rsidR="00F44547">
        <w:rPr>
          <w:rFonts w:cs="Arial"/>
          <w:szCs w:val="24"/>
        </w:rPr>
        <w:t>roposing</w:t>
      </w:r>
      <w:r w:rsidR="0058419C" w:rsidRPr="0058419C">
        <w:rPr>
          <w:rFonts w:cs="Arial"/>
          <w:szCs w:val="24"/>
        </w:rPr>
        <w:t xml:space="preserve"> the appropriate level of investigation;</w:t>
      </w:r>
      <w:r w:rsidR="00197A66">
        <w:rPr>
          <w:rFonts w:cs="Arial"/>
          <w:szCs w:val="24"/>
        </w:rPr>
        <w:t xml:space="preserve"> and</w:t>
      </w:r>
    </w:p>
    <w:p w:rsidR="00BE15C7" w:rsidRPr="0055045C" w:rsidRDefault="00770B1B" w:rsidP="0072371B">
      <w:pPr>
        <w:pStyle w:val="ListParagraph"/>
        <w:numPr>
          <w:ilvl w:val="0"/>
          <w:numId w:val="54"/>
        </w:numPr>
        <w:tabs>
          <w:tab w:val="left" w:pos="720"/>
          <w:tab w:val="left" w:pos="2520"/>
          <w:tab w:val="left" w:pos="6480"/>
        </w:tabs>
        <w:spacing w:after="120" w:line="276" w:lineRule="auto"/>
        <w:rPr>
          <w:rFonts w:cs="Arial"/>
          <w:szCs w:val="24"/>
        </w:rPr>
      </w:pPr>
      <w:r>
        <w:rPr>
          <w:rFonts w:cs="Arial"/>
          <w:szCs w:val="24"/>
        </w:rPr>
        <w:t>C</w:t>
      </w:r>
      <w:r w:rsidR="00197A66">
        <w:rPr>
          <w:rFonts w:cs="Arial"/>
          <w:szCs w:val="24"/>
        </w:rPr>
        <w:t>ommunicating</w:t>
      </w:r>
      <w:r w:rsidR="00197A66" w:rsidRPr="0058419C">
        <w:rPr>
          <w:rFonts w:cs="Arial"/>
          <w:szCs w:val="24"/>
        </w:rPr>
        <w:t xml:space="preserve"> </w:t>
      </w:r>
      <w:r w:rsidR="0058419C" w:rsidRPr="0058419C">
        <w:rPr>
          <w:rFonts w:cs="Arial"/>
          <w:szCs w:val="24"/>
        </w:rPr>
        <w:t>with relevant individuals and organisation including the</w:t>
      </w:r>
      <w:r w:rsidR="004B188D">
        <w:rPr>
          <w:rFonts w:cs="Arial"/>
          <w:szCs w:val="24"/>
        </w:rPr>
        <w:t xml:space="preserve"> </w:t>
      </w:r>
      <w:r w:rsidR="00F44547">
        <w:rPr>
          <w:rFonts w:cs="Arial"/>
          <w:szCs w:val="24"/>
        </w:rPr>
        <w:t>families (of victims and perpetrators)</w:t>
      </w:r>
      <w:r w:rsidR="0058419C" w:rsidRPr="0058419C">
        <w:rPr>
          <w:rFonts w:cs="Arial"/>
          <w:szCs w:val="24"/>
        </w:rPr>
        <w:t xml:space="preserve"> Police, CQC, Monitor</w:t>
      </w:r>
      <w:r w:rsidR="007B3224">
        <w:rPr>
          <w:rFonts w:cs="Arial"/>
          <w:szCs w:val="24"/>
        </w:rPr>
        <w:t>,</w:t>
      </w:r>
      <w:r w:rsidR="00D333DF">
        <w:rPr>
          <w:rFonts w:cs="Arial"/>
          <w:szCs w:val="24"/>
        </w:rPr>
        <w:t xml:space="preserve"> </w:t>
      </w:r>
      <w:r w:rsidR="0058419C" w:rsidRPr="0058419C">
        <w:rPr>
          <w:rFonts w:cs="Arial"/>
          <w:szCs w:val="24"/>
        </w:rPr>
        <w:t xml:space="preserve">TDA, Coroner, HSE as required. </w:t>
      </w:r>
    </w:p>
    <w:p w:rsidR="0058419C" w:rsidRDefault="00C65496" w:rsidP="0072371B">
      <w:pPr>
        <w:pStyle w:val="ListParagraph"/>
        <w:numPr>
          <w:ilvl w:val="0"/>
          <w:numId w:val="49"/>
        </w:numPr>
        <w:tabs>
          <w:tab w:val="left" w:pos="0"/>
          <w:tab w:val="left" w:pos="2520"/>
          <w:tab w:val="left" w:pos="6480"/>
        </w:tabs>
        <w:spacing w:after="120"/>
        <w:ind w:left="426" w:hanging="425"/>
        <w:rPr>
          <w:rFonts w:cs="Arial"/>
          <w:szCs w:val="24"/>
        </w:rPr>
      </w:pPr>
      <w:r w:rsidRPr="00B62385">
        <w:rPr>
          <w:rFonts w:cs="Arial"/>
          <w:szCs w:val="24"/>
        </w:rPr>
        <w:t>P</w:t>
      </w:r>
      <w:r w:rsidR="0058419C" w:rsidRPr="00B62385">
        <w:rPr>
          <w:rFonts w:cs="Arial"/>
          <w:szCs w:val="24"/>
        </w:rPr>
        <w:t>roviders should actively seek the d</w:t>
      </w:r>
      <w:r w:rsidRPr="00B62385">
        <w:rPr>
          <w:rFonts w:cs="Arial"/>
          <w:szCs w:val="24"/>
        </w:rPr>
        <w:t xml:space="preserve">etails of all victims and their </w:t>
      </w:r>
      <w:r w:rsidR="0058419C" w:rsidRPr="00B62385">
        <w:rPr>
          <w:rFonts w:cs="Arial"/>
          <w:szCs w:val="24"/>
        </w:rPr>
        <w:t>families through the appropriate channels</w:t>
      </w:r>
      <w:r w:rsidR="00F44547">
        <w:rPr>
          <w:rFonts w:cs="Arial"/>
          <w:szCs w:val="24"/>
        </w:rPr>
        <w:t xml:space="preserve"> at an early stage</w:t>
      </w:r>
      <w:r w:rsidR="00BE15C7">
        <w:rPr>
          <w:rFonts w:cs="Arial"/>
          <w:szCs w:val="24"/>
        </w:rPr>
        <w:t>.</w:t>
      </w:r>
    </w:p>
    <w:p w:rsidR="0058419C" w:rsidRPr="0055045C" w:rsidRDefault="0058419C" w:rsidP="0072371B">
      <w:pPr>
        <w:pStyle w:val="ListParagraph"/>
        <w:numPr>
          <w:ilvl w:val="0"/>
          <w:numId w:val="49"/>
        </w:numPr>
        <w:tabs>
          <w:tab w:val="left" w:pos="0"/>
          <w:tab w:val="left" w:pos="2520"/>
          <w:tab w:val="left" w:pos="6480"/>
        </w:tabs>
        <w:spacing w:after="120"/>
        <w:ind w:left="426" w:hanging="425"/>
        <w:rPr>
          <w:rFonts w:eastAsia="Calibri" w:cs="Arial"/>
          <w:szCs w:val="24"/>
        </w:rPr>
      </w:pPr>
      <w:r w:rsidRPr="0055045C">
        <w:rPr>
          <w:rFonts w:eastAsia="Calibri" w:cs="Arial"/>
          <w:szCs w:val="24"/>
        </w:rPr>
        <w:t xml:space="preserve">The 72 hour review report should be shared with the CCG lead, </w:t>
      </w:r>
      <w:r w:rsidR="007C75A5" w:rsidRPr="0055045C">
        <w:rPr>
          <w:rFonts w:eastAsia="Calibri" w:cs="Arial"/>
          <w:szCs w:val="24"/>
        </w:rPr>
        <w:t xml:space="preserve">Sub-region </w:t>
      </w:r>
      <w:r w:rsidRPr="0055045C">
        <w:rPr>
          <w:rFonts w:eastAsia="Calibri" w:cs="Arial"/>
          <w:szCs w:val="24"/>
        </w:rPr>
        <w:t xml:space="preserve">quality lead, and the Investigation Team. </w:t>
      </w:r>
    </w:p>
    <w:p w:rsidR="00B62385" w:rsidRPr="00B62385" w:rsidRDefault="00B62385" w:rsidP="00B62385">
      <w:pPr>
        <w:pStyle w:val="ListParagraph"/>
        <w:tabs>
          <w:tab w:val="left" w:pos="0"/>
          <w:tab w:val="left" w:pos="2520"/>
          <w:tab w:val="left" w:pos="6480"/>
        </w:tabs>
        <w:spacing w:after="120"/>
        <w:ind w:left="709"/>
        <w:rPr>
          <w:rFonts w:eastAsia="Calibri" w:cs="Arial"/>
          <w:szCs w:val="24"/>
        </w:rPr>
      </w:pPr>
    </w:p>
    <w:p w:rsidR="00BE15C7" w:rsidRPr="0058419C" w:rsidRDefault="0058419C" w:rsidP="000F5987">
      <w:pPr>
        <w:tabs>
          <w:tab w:val="left" w:pos="0"/>
          <w:tab w:val="left" w:pos="2520"/>
          <w:tab w:val="left" w:pos="6480"/>
        </w:tabs>
        <w:spacing w:after="120"/>
        <w:rPr>
          <w:rFonts w:eastAsia="Calibri" w:cs="Arial"/>
          <w:b/>
          <w:szCs w:val="24"/>
        </w:rPr>
      </w:pPr>
      <w:r w:rsidRPr="0058419C">
        <w:rPr>
          <w:rFonts w:eastAsia="Calibri" w:cs="Arial"/>
          <w:b/>
          <w:szCs w:val="24"/>
          <w:u w:val="single"/>
        </w:rPr>
        <w:lastRenderedPageBreak/>
        <w:t>Stage 2</w:t>
      </w:r>
      <w:r w:rsidRPr="0058419C">
        <w:rPr>
          <w:rFonts w:eastAsia="Calibri" w:cs="Arial"/>
          <w:b/>
          <w:szCs w:val="24"/>
        </w:rPr>
        <w:t xml:space="preserve"> – Provider focussed internal investigation and 60-day</w:t>
      </w:r>
      <w:r w:rsidR="00DE1546">
        <w:rPr>
          <w:rFonts w:eastAsia="Calibri" w:cs="Arial"/>
          <w:b/>
          <w:szCs w:val="24"/>
        </w:rPr>
        <w:t xml:space="preserve"> investigation</w:t>
      </w:r>
      <w:r w:rsidRPr="0058419C">
        <w:rPr>
          <w:rFonts w:eastAsia="Calibri" w:cs="Arial"/>
          <w:b/>
          <w:szCs w:val="24"/>
        </w:rPr>
        <w:t xml:space="preserve"> report</w:t>
      </w:r>
    </w:p>
    <w:p w:rsidR="00BE15C7" w:rsidRPr="0055045C" w:rsidRDefault="0058419C" w:rsidP="0072371B">
      <w:pPr>
        <w:pStyle w:val="ListParagraph"/>
        <w:numPr>
          <w:ilvl w:val="0"/>
          <w:numId w:val="53"/>
        </w:numPr>
        <w:tabs>
          <w:tab w:val="left" w:pos="426"/>
          <w:tab w:val="left" w:pos="2520"/>
          <w:tab w:val="left" w:pos="6480"/>
        </w:tabs>
        <w:ind w:left="426"/>
        <w:rPr>
          <w:rFonts w:eastAsia="Calibri" w:cs="Arial"/>
          <w:szCs w:val="24"/>
        </w:rPr>
      </w:pPr>
      <w:r w:rsidRPr="00B62385">
        <w:rPr>
          <w:rFonts w:eastAsia="Calibri" w:cs="Arial"/>
          <w:szCs w:val="24"/>
        </w:rPr>
        <w:t xml:space="preserve">The </w:t>
      </w:r>
      <w:r w:rsidR="00B1576F">
        <w:rPr>
          <w:rFonts w:eastAsia="Calibri" w:cs="Arial"/>
          <w:szCs w:val="24"/>
        </w:rPr>
        <w:t>relevant commissioner (typically</w:t>
      </w:r>
      <w:r w:rsidR="004F4F70">
        <w:rPr>
          <w:rFonts w:eastAsia="Calibri" w:cs="Arial"/>
          <w:szCs w:val="24"/>
        </w:rPr>
        <w:t xml:space="preserve"> the</w:t>
      </w:r>
      <w:r w:rsidR="00B1576F">
        <w:rPr>
          <w:rFonts w:eastAsia="Calibri" w:cs="Arial"/>
          <w:szCs w:val="24"/>
        </w:rPr>
        <w:t xml:space="preserve"> </w:t>
      </w:r>
      <w:r w:rsidRPr="00B62385">
        <w:rPr>
          <w:rFonts w:eastAsia="Calibri" w:cs="Arial"/>
          <w:szCs w:val="24"/>
        </w:rPr>
        <w:t>quality lead</w:t>
      </w:r>
      <w:r w:rsidR="00346CD0">
        <w:rPr>
          <w:rFonts w:eastAsia="Calibri" w:cs="Arial"/>
          <w:szCs w:val="24"/>
        </w:rPr>
        <w:t xml:space="preserve"> with</w:t>
      </w:r>
      <w:r w:rsidR="004F4F70">
        <w:rPr>
          <w:rFonts w:eastAsia="Calibri" w:cs="Arial"/>
          <w:szCs w:val="24"/>
        </w:rPr>
        <w:t>in</w:t>
      </w:r>
      <w:r w:rsidR="00346CD0">
        <w:rPr>
          <w:rFonts w:eastAsia="Calibri" w:cs="Arial"/>
          <w:szCs w:val="24"/>
        </w:rPr>
        <w:t xml:space="preserve"> the CCG</w:t>
      </w:r>
      <w:r w:rsidR="00B1576F">
        <w:rPr>
          <w:rFonts w:eastAsia="Calibri" w:cs="Arial"/>
          <w:szCs w:val="24"/>
        </w:rPr>
        <w:t>)</w:t>
      </w:r>
      <w:r w:rsidRPr="00B62385">
        <w:rPr>
          <w:rFonts w:eastAsia="Calibri" w:cs="Arial"/>
          <w:szCs w:val="24"/>
        </w:rPr>
        <w:t xml:space="preserve"> will ensure that the service provider undertakes a robust and thorough internal investigation. The Regional Investigations Team will be available to support and help develop the</w:t>
      </w:r>
      <w:r w:rsidR="00B1576F">
        <w:rPr>
          <w:rFonts w:eastAsia="Calibri" w:cs="Arial"/>
          <w:szCs w:val="24"/>
        </w:rPr>
        <w:t xml:space="preserve"> terms of reference with the commissioner</w:t>
      </w:r>
      <w:r w:rsidRPr="00B62385">
        <w:rPr>
          <w:rFonts w:eastAsia="Calibri" w:cs="Arial"/>
          <w:szCs w:val="24"/>
        </w:rPr>
        <w:t xml:space="preserve"> and other stakeholders as necessary. An opportunity </w:t>
      </w:r>
      <w:r w:rsidR="00DE1546">
        <w:rPr>
          <w:rFonts w:eastAsia="Calibri" w:cs="Arial"/>
          <w:szCs w:val="24"/>
        </w:rPr>
        <w:t>must</w:t>
      </w:r>
      <w:r w:rsidR="00DE1546" w:rsidRPr="00B62385">
        <w:rPr>
          <w:rFonts w:eastAsia="Calibri" w:cs="Arial"/>
          <w:szCs w:val="24"/>
        </w:rPr>
        <w:t xml:space="preserve"> </w:t>
      </w:r>
      <w:r w:rsidRPr="00B62385">
        <w:rPr>
          <w:rFonts w:eastAsia="Calibri" w:cs="Arial"/>
          <w:szCs w:val="24"/>
        </w:rPr>
        <w:t xml:space="preserve">be given to </w:t>
      </w:r>
      <w:r w:rsidR="00F44547">
        <w:rPr>
          <w:rFonts w:eastAsia="Calibri" w:cs="Arial"/>
          <w:szCs w:val="24"/>
        </w:rPr>
        <w:t xml:space="preserve">the </w:t>
      </w:r>
      <w:r w:rsidRPr="00B62385">
        <w:rPr>
          <w:rFonts w:eastAsia="Calibri" w:cs="Arial"/>
          <w:szCs w:val="24"/>
        </w:rPr>
        <w:t>family members</w:t>
      </w:r>
      <w:r w:rsidR="00F44547">
        <w:rPr>
          <w:rFonts w:eastAsia="Calibri" w:cs="Arial"/>
          <w:szCs w:val="24"/>
        </w:rPr>
        <w:t xml:space="preserve"> of the victim and the alleged perpetrator</w:t>
      </w:r>
      <w:r w:rsidRPr="00B62385">
        <w:rPr>
          <w:rFonts w:eastAsia="Calibri" w:cs="Arial"/>
          <w:szCs w:val="24"/>
        </w:rPr>
        <w:t xml:space="preserve"> to have input in to the terms of reference and raise concerns where possible. </w:t>
      </w:r>
    </w:p>
    <w:p w:rsidR="00BE15C7" w:rsidRPr="0055045C" w:rsidRDefault="0058419C" w:rsidP="0072371B">
      <w:pPr>
        <w:pStyle w:val="ListParagraph"/>
        <w:numPr>
          <w:ilvl w:val="0"/>
          <w:numId w:val="53"/>
        </w:numPr>
        <w:tabs>
          <w:tab w:val="left" w:pos="426"/>
          <w:tab w:val="left" w:pos="2520"/>
          <w:tab w:val="left" w:pos="6480"/>
        </w:tabs>
        <w:ind w:left="426"/>
        <w:rPr>
          <w:rFonts w:eastAsia="Calibri" w:cs="Arial"/>
          <w:szCs w:val="24"/>
          <w:lang w:eastAsia="en-GB"/>
        </w:rPr>
      </w:pPr>
      <w:r w:rsidRPr="00B62385">
        <w:rPr>
          <w:rFonts w:eastAsia="Calibri" w:cs="Arial"/>
          <w:szCs w:val="24"/>
        </w:rPr>
        <w:t xml:space="preserve">The internal investigation should be completed within 60 </w:t>
      </w:r>
      <w:r w:rsidR="00F740FD">
        <w:rPr>
          <w:rFonts w:eastAsia="Calibri" w:cs="Arial"/>
          <w:szCs w:val="24"/>
        </w:rPr>
        <w:t xml:space="preserve">working </w:t>
      </w:r>
      <w:r w:rsidRPr="00B62385">
        <w:rPr>
          <w:rFonts w:eastAsia="Calibri" w:cs="Arial"/>
          <w:szCs w:val="24"/>
        </w:rPr>
        <w:t>days</w:t>
      </w:r>
      <w:r w:rsidR="00F44547">
        <w:rPr>
          <w:rFonts w:eastAsia="Calibri" w:cs="Arial"/>
          <w:szCs w:val="24"/>
        </w:rPr>
        <w:t xml:space="preserve"> (from the date in which the incident is reported)</w:t>
      </w:r>
      <w:r w:rsidRPr="00B62385">
        <w:rPr>
          <w:rFonts w:eastAsia="Calibri" w:cs="Arial"/>
          <w:szCs w:val="24"/>
        </w:rPr>
        <w:t xml:space="preserve">, be of good quality and underpinned by clear terms of reference. It should demonstrate the application of robust investigative methodologies </w:t>
      </w:r>
      <w:r w:rsidR="001C1B0F">
        <w:rPr>
          <w:rFonts w:eastAsia="Calibri" w:cs="Arial"/>
          <w:szCs w:val="24"/>
        </w:rPr>
        <w:t>which</w:t>
      </w:r>
      <w:r w:rsidR="00DE1546">
        <w:rPr>
          <w:rFonts w:eastAsia="Calibri" w:cs="Arial"/>
          <w:szCs w:val="24"/>
        </w:rPr>
        <w:t xml:space="preserve"> result in effective recommendations to prevent recurrence as outlined in part three of the main </w:t>
      </w:r>
      <w:r w:rsidR="005A7486">
        <w:rPr>
          <w:rFonts w:eastAsia="Calibri" w:cs="Arial"/>
          <w:szCs w:val="24"/>
        </w:rPr>
        <w:t>Framework</w:t>
      </w:r>
      <w:r w:rsidR="00DE1546">
        <w:rPr>
          <w:rFonts w:eastAsia="Calibri" w:cs="Arial"/>
          <w:szCs w:val="24"/>
        </w:rPr>
        <w:t xml:space="preserve">. </w:t>
      </w:r>
    </w:p>
    <w:p w:rsidR="00BE15C7" w:rsidRPr="0055045C" w:rsidRDefault="0058419C" w:rsidP="0072371B">
      <w:pPr>
        <w:pStyle w:val="ListParagraph"/>
        <w:numPr>
          <w:ilvl w:val="0"/>
          <w:numId w:val="53"/>
        </w:numPr>
        <w:tabs>
          <w:tab w:val="left" w:pos="426"/>
          <w:tab w:val="left" w:pos="2520"/>
          <w:tab w:val="left" w:pos="6480"/>
        </w:tabs>
        <w:ind w:left="426"/>
        <w:rPr>
          <w:rFonts w:eastAsia="Calibri" w:cs="Arial"/>
          <w:szCs w:val="24"/>
        </w:rPr>
      </w:pPr>
      <w:r w:rsidRPr="00B62385">
        <w:rPr>
          <w:rFonts w:eastAsia="Calibri" w:cs="Arial"/>
          <w:szCs w:val="24"/>
        </w:rPr>
        <w:t>All investigative material should be retained and be readily available to share with the Independent Investigators if required.</w:t>
      </w:r>
    </w:p>
    <w:p w:rsidR="0058419C" w:rsidRDefault="0058419C" w:rsidP="0072371B">
      <w:pPr>
        <w:pStyle w:val="ListParagraph"/>
        <w:numPr>
          <w:ilvl w:val="0"/>
          <w:numId w:val="53"/>
        </w:numPr>
        <w:tabs>
          <w:tab w:val="left" w:pos="0"/>
          <w:tab w:val="left" w:pos="426"/>
          <w:tab w:val="left" w:pos="2520"/>
          <w:tab w:val="left" w:pos="6480"/>
        </w:tabs>
        <w:ind w:left="426"/>
        <w:rPr>
          <w:rFonts w:eastAsia="Calibri" w:cs="Arial"/>
          <w:szCs w:val="24"/>
        </w:rPr>
      </w:pPr>
      <w:r w:rsidRPr="00B62385">
        <w:rPr>
          <w:rFonts w:eastAsia="Calibri" w:cs="Arial"/>
          <w:szCs w:val="24"/>
        </w:rPr>
        <w:t xml:space="preserve">In addition to established local reporting procedures the 60 day report should also be shared with the CCG lead, </w:t>
      </w:r>
      <w:r w:rsidR="000A74CD">
        <w:rPr>
          <w:rFonts w:eastAsia="Calibri" w:cs="Arial"/>
          <w:szCs w:val="24"/>
        </w:rPr>
        <w:t xml:space="preserve">sub-region </w:t>
      </w:r>
      <w:r w:rsidRPr="00B62385">
        <w:rPr>
          <w:rFonts w:eastAsia="Calibri" w:cs="Arial"/>
          <w:szCs w:val="24"/>
        </w:rPr>
        <w:t>quality lead and the Investigation Team and affected families.</w:t>
      </w:r>
    </w:p>
    <w:p w:rsidR="00B62385" w:rsidRPr="00B62385" w:rsidRDefault="00B62385" w:rsidP="00B62385">
      <w:pPr>
        <w:tabs>
          <w:tab w:val="left" w:pos="0"/>
          <w:tab w:val="left" w:pos="2520"/>
          <w:tab w:val="left" w:pos="6480"/>
        </w:tabs>
        <w:spacing w:after="120"/>
        <w:rPr>
          <w:rFonts w:eastAsia="Calibri" w:cs="Arial"/>
          <w:szCs w:val="24"/>
        </w:rPr>
      </w:pPr>
    </w:p>
    <w:p w:rsidR="00385044" w:rsidRPr="0058419C" w:rsidRDefault="0058419C" w:rsidP="00197A66">
      <w:pPr>
        <w:tabs>
          <w:tab w:val="left" w:pos="720"/>
          <w:tab w:val="left" w:pos="2520"/>
          <w:tab w:val="left" w:pos="6480"/>
        </w:tabs>
        <w:spacing w:after="120"/>
        <w:ind w:left="720" w:hanging="720"/>
        <w:rPr>
          <w:rFonts w:eastAsia="Calibri" w:cs="Arial"/>
          <w:b/>
          <w:szCs w:val="24"/>
        </w:rPr>
      </w:pPr>
      <w:r w:rsidRPr="0058419C">
        <w:rPr>
          <w:rFonts w:eastAsia="Calibri" w:cs="Arial"/>
          <w:b/>
          <w:szCs w:val="24"/>
          <w:u w:val="single"/>
        </w:rPr>
        <w:t>Stage 3</w:t>
      </w:r>
      <w:r w:rsidRPr="0058419C">
        <w:rPr>
          <w:rFonts w:eastAsia="Calibri" w:cs="Arial"/>
          <w:b/>
          <w:szCs w:val="24"/>
        </w:rPr>
        <w:t xml:space="preserve"> - Independent Investigations Review Group (IIRG)</w:t>
      </w:r>
    </w:p>
    <w:p w:rsidR="00982855" w:rsidRPr="0055045C" w:rsidRDefault="0058419C" w:rsidP="0072371B">
      <w:pPr>
        <w:pStyle w:val="ListParagraph"/>
        <w:numPr>
          <w:ilvl w:val="0"/>
          <w:numId w:val="53"/>
        </w:numPr>
        <w:tabs>
          <w:tab w:val="left" w:pos="0"/>
          <w:tab w:val="left" w:pos="2520"/>
          <w:tab w:val="left" w:pos="6480"/>
        </w:tabs>
        <w:spacing w:after="120"/>
        <w:ind w:left="426" w:hanging="502"/>
        <w:rPr>
          <w:rFonts w:eastAsia="Calibri" w:cs="Arial"/>
          <w:szCs w:val="24"/>
        </w:rPr>
      </w:pPr>
      <w:r w:rsidRPr="00982855">
        <w:rPr>
          <w:rFonts w:eastAsia="Calibri" w:cs="Arial"/>
          <w:szCs w:val="24"/>
        </w:rPr>
        <w:t xml:space="preserve">An IIRG has been established </w:t>
      </w:r>
      <w:r w:rsidR="00AE6576" w:rsidRPr="00982855">
        <w:rPr>
          <w:rFonts w:eastAsia="Calibri" w:cs="Arial"/>
          <w:szCs w:val="24"/>
        </w:rPr>
        <w:t>by</w:t>
      </w:r>
      <w:r w:rsidRPr="00982855">
        <w:rPr>
          <w:rFonts w:eastAsia="Calibri" w:cs="Arial"/>
          <w:szCs w:val="24"/>
        </w:rPr>
        <w:t xml:space="preserve"> each NHS England Region</w:t>
      </w:r>
      <w:r w:rsidR="00AE6576" w:rsidRPr="00982855">
        <w:rPr>
          <w:rFonts w:eastAsia="Calibri" w:cs="Arial"/>
          <w:szCs w:val="24"/>
        </w:rPr>
        <w:t xml:space="preserve">al </w:t>
      </w:r>
      <w:r w:rsidR="00197A66">
        <w:rPr>
          <w:rFonts w:eastAsia="Calibri" w:cs="Arial"/>
          <w:szCs w:val="24"/>
        </w:rPr>
        <w:t>I</w:t>
      </w:r>
      <w:r w:rsidR="00197A66" w:rsidRPr="00982855">
        <w:rPr>
          <w:rFonts w:eastAsia="Calibri" w:cs="Arial"/>
          <w:szCs w:val="24"/>
        </w:rPr>
        <w:t xml:space="preserve">nvestigations </w:t>
      </w:r>
      <w:r w:rsidR="00197A66">
        <w:rPr>
          <w:rFonts w:eastAsia="Calibri" w:cs="Arial"/>
          <w:szCs w:val="24"/>
        </w:rPr>
        <w:t>T</w:t>
      </w:r>
      <w:r w:rsidR="00AE6576" w:rsidRPr="00982855">
        <w:rPr>
          <w:rFonts w:eastAsia="Calibri" w:cs="Arial"/>
          <w:szCs w:val="24"/>
        </w:rPr>
        <w:t>eam</w:t>
      </w:r>
      <w:r w:rsidRPr="00982855">
        <w:rPr>
          <w:rFonts w:eastAsia="Calibri" w:cs="Arial"/>
          <w:szCs w:val="24"/>
        </w:rPr>
        <w:t>. Its purpose is to</w:t>
      </w:r>
      <w:r w:rsidR="00AE6576" w:rsidRPr="00982855">
        <w:rPr>
          <w:rFonts w:eastAsia="Calibri" w:cs="Arial"/>
          <w:szCs w:val="24"/>
        </w:rPr>
        <w:t xml:space="preserve"> review and help determine cases which require independent investigations</w:t>
      </w:r>
      <w:r w:rsidRPr="00982855">
        <w:rPr>
          <w:rFonts w:eastAsia="Calibri" w:cs="Arial"/>
          <w:szCs w:val="24"/>
        </w:rPr>
        <w:t xml:space="preserve">. Each IIRG will have representation from experts in the field of mental health and/or investigation as well as lay members. Upon receipt of the 60 day report </w:t>
      </w:r>
      <w:r w:rsidR="00CF5433" w:rsidRPr="00982855">
        <w:rPr>
          <w:rFonts w:eastAsia="Calibri" w:cs="Arial"/>
          <w:szCs w:val="24"/>
        </w:rPr>
        <w:t>the relevant NHS England Region</w:t>
      </w:r>
      <w:r w:rsidR="00CE4F84" w:rsidRPr="00982855">
        <w:rPr>
          <w:rFonts w:eastAsia="Calibri" w:cs="Arial"/>
          <w:szCs w:val="24"/>
        </w:rPr>
        <w:t xml:space="preserve">al </w:t>
      </w:r>
      <w:r w:rsidR="00197A66">
        <w:rPr>
          <w:rFonts w:eastAsia="Calibri" w:cs="Arial"/>
          <w:szCs w:val="24"/>
        </w:rPr>
        <w:t>I</w:t>
      </w:r>
      <w:r w:rsidR="00197A66" w:rsidRPr="00982855">
        <w:rPr>
          <w:rFonts w:eastAsia="Calibri" w:cs="Arial"/>
          <w:szCs w:val="24"/>
        </w:rPr>
        <w:t xml:space="preserve">nvestigation </w:t>
      </w:r>
      <w:r w:rsidR="00197A66">
        <w:rPr>
          <w:rFonts w:eastAsia="Calibri" w:cs="Arial"/>
          <w:szCs w:val="24"/>
        </w:rPr>
        <w:t>T</w:t>
      </w:r>
      <w:r w:rsidR="00197A66" w:rsidRPr="00982855">
        <w:rPr>
          <w:rFonts w:eastAsia="Calibri" w:cs="Arial"/>
          <w:szCs w:val="24"/>
        </w:rPr>
        <w:t xml:space="preserve">eam </w:t>
      </w:r>
      <w:r w:rsidR="002F37ED" w:rsidRPr="00982855">
        <w:rPr>
          <w:rFonts w:eastAsia="Calibri" w:cs="Arial"/>
          <w:szCs w:val="24"/>
        </w:rPr>
        <w:t>will make</w:t>
      </w:r>
      <w:r w:rsidR="00DE1546" w:rsidRPr="00982855">
        <w:rPr>
          <w:rFonts w:eastAsia="Calibri" w:cs="Arial"/>
          <w:szCs w:val="24"/>
        </w:rPr>
        <w:t xml:space="preserve"> arrangements for a review </w:t>
      </w:r>
      <w:r w:rsidR="00CF5433" w:rsidRPr="00982855">
        <w:rPr>
          <w:rFonts w:eastAsia="Calibri" w:cs="Arial"/>
          <w:szCs w:val="24"/>
        </w:rPr>
        <w:t>by</w:t>
      </w:r>
      <w:r w:rsidRPr="00982855">
        <w:rPr>
          <w:rFonts w:eastAsia="Calibri" w:cs="Arial"/>
          <w:szCs w:val="24"/>
        </w:rPr>
        <w:t xml:space="preserve"> the IIRG</w:t>
      </w:r>
      <w:r w:rsidR="00DE1546" w:rsidRPr="00982855">
        <w:rPr>
          <w:rFonts w:eastAsia="Calibri" w:cs="Arial"/>
          <w:szCs w:val="24"/>
        </w:rPr>
        <w:t xml:space="preserve"> to take place</w:t>
      </w:r>
      <w:r w:rsidRPr="00982855">
        <w:rPr>
          <w:rFonts w:eastAsia="Calibri" w:cs="Arial"/>
          <w:szCs w:val="24"/>
        </w:rPr>
        <w:t>. They will consider the scope and quality of the internal investigation, provide feedback and determine whether a</w:t>
      </w:r>
      <w:r w:rsidR="00DE1546" w:rsidRPr="00982855">
        <w:rPr>
          <w:rFonts w:eastAsia="Calibri" w:cs="Arial"/>
          <w:szCs w:val="24"/>
        </w:rPr>
        <w:t>n</w:t>
      </w:r>
      <w:r w:rsidRPr="00982855">
        <w:rPr>
          <w:rFonts w:eastAsia="Calibri" w:cs="Arial"/>
          <w:szCs w:val="24"/>
        </w:rPr>
        <w:t xml:space="preserve"> independent investigation is required.</w:t>
      </w:r>
    </w:p>
    <w:p w:rsidR="0058419C" w:rsidRPr="00B62385" w:rsidRDefault="0058419C" w:rsidP="0072371B">
      <w:pPr>
        <w:pStyle w:val="ListParagraph"/>
        <w:numPr>
          <w:ilvl w:val="0"/>
          <w:numId w:val="52"/>
        </w:numPr>
        <w:tabs>
          <w:tab w:val="left" w:pos="0"/>
        </w:tabs>
        <w:spacing w:after="120"/>
        <w:ind w:left="426" w:hanging="502"/>
        <w:rPr>
          <w:rFonts w:eastAsia="Calibri" w:cs="Arial"/>
          <w:szCs w:val="24"/>
        </w:rPr>
      </w:pPr>
      <w:r w:rsidRPr="00CE4F84">
        <w:rPr>
          <w:rFonts w:eastAsia="Calibri" w:cs="Arial"/>
          <w:szCs w:val="24"/>
        </w:rPr>
        <w:t>It should be noted that</w:t>
      </w:r>
      <w:r w:rsidR="00CE4F84" w:rsidRPr="00CE4F84">
        <w:rPr>
          <w:rFonts w:eastAsia="Calibri" w:cs="Arial"/>
          <w:szCs w:val="24"/>
        </w:rPr>
        <w:t xml:space="preserve"> there is no automatic bar on conducting independent investigations whilst</w:t>
      </w:r>
      <w:r w:rsidRPr="00CE4F84">
        <w:rPr>
          <w:rFonts w:eastAsia="Calibri" w:cs="Arial"/>
          <w:szCs w:val="24"/>
        </w:rPr>
        <w:t xml:space="preserve"> criminal proceedings</w:t>
      </w:r>
      <w:r w:rsidR="00CE4F84" w:rsidRPr="00CE4F84">
        <w:rPr>
          <w:rFonts w:eastAsia="Calibri" w:cs="Arial"/>
          <w:szCs w:val="24"/>
        </w:rPr>
        <w:t xml:space="preserve"> are underway. There should be an early discussion with relevant partners</w:t>
      </w:r>
      <w:r w:rsidR="00871323">
        <w:rPr>
          <w:rFonts w:eastAsia="Calibri" w:cs="Arial"/>
          <w:szCs w:val="24"/>
        </w:rPr>
        <w:t xml:space="preserve"> (e.g. p</w:t>
      </w:r>
      <w:r w:rsidR="00CE4F84">
        <w:rPr>
          <w:rFonts w:eastAsia="Calibri" w:cs="Arial"/>
          <w:szCs w:val="24"/>
        </w:rPr>
        <w:t>olice, Coroner)</w:t>
      </w:r>
      <w:r w:rsidR="00CE4F84" w:rsidRPr="00CE4F84">
        <w:rPr>
          <w:rFonts w:eastAsia="Calibri" w:cs="Arial"/>
          <w:szCs w:val="24"/>
        </w:rPr>
        <w:t xml:space="preserve"> to ensure that investigations can commence at the earliest opportunity. </w:t>
      </w:r>
      <w:r w:rsidRPr="00CE4F84">
        <w:rPr>
          <w:rFonts w:eastAsia="Calibri" w:cs="Arial"/>
          <w:szCs w:val="24"/>
        </w:rPr>
        <w:t xml:space="preserve"> </w:t>
      </w:r>
      <w:r w:rsidRPr="00B62385">
        <w:rPr>
          <w:rFonts w:eastAsia="Calibri" w:cs="Arial"/>
          <w:szCs w:val="24"/>
        </w:rPr>
        <w:t xml:space="preserve">The Regional Investigations Team will advise the provider of the IIRG decision and inform them if an investigation is required and at what level. </w:t>
      </w:r>
      <w:r w:rsidRPr="00B62385">
        <w:rPr>
          <w:rFonts w:cs="Arial"/>
          <w:szCs w:val="24"/>
        </w:rPr>
        <w:t xml:space="preserve"> </w:t>
      </w:r>
    </w:p>
    <w:p w:rsidR="00982855" w:rsidRPr="0055045C" w:rsidRDefault="00982855" w:rsidP="000F5987">
      <w:pPr>
        <w:tabs>
          <w:tab w:val="left" w:pos="0"/>
        </w:tabs>
        <w:spacing w:after="120"/>
        <w:rPr>
          <w:rFonts w:eastAsia="Calibri" w:cs="Arial"/>
          <w:szCs w:val="24"/>
        </w:rPr>
      </w:pPr>
    </w:p>
    <w:p w:rsidR="0058419C" w:rsidRDefault="0058419C" w:rsidP="0058419C">
      <w:pPr>
        <w:tabs>
          <w:tab w:val="left" w:pos="720"/>
          <w:tab w:val="left" w:pos="2520"/>
          <w:tab w:val="left" w:pos="6480"/>
        </w:tabs>
        <w:spacing w:after="120"/>
        <w:rPr>
          <w:rFonts w:cs="Arial"/>
          <w:szCs w:val="24"/>
        </w:rPr>
      </w:pPr>
      <w:r w:rsidRPr="0058419C">
        <w:rPr>
          <w:rFonts w:eastAsia="Calibri" w:cs="Arial"/>
          <w:b/>
          <w:szCs w:val="24"/>
        </w:rPr>
        <w:t>Commissioning the independent investigation</w:t>
      </w:r>
      <w:r w:rsidRPr="0058419C">
        <w:rPr>
          <w:rFonts w:cs="Arial"/>
          <w:szCs w:val="24"/>
        </w:rPr>
        <w:t xml:space="preserve"> </w:t>
      </w:r>
    </w:p>
    <w:p w:rsidR="00BE15C7" w:rsidRPr="0055045C" w:rsidRDefault="0058419C" w:rsidP="0072371B">
      <w:pPr>
        <w:pStyle w:val="ListParagraph"/>
        <w:numPr>
          <w:ilvl w:val="0"/>
          <w:numId w:val="56"/>
        </w:numPr>
        <w:tabs>
          <w:tab w:val="left" w:pos="426"/>
          <w:tab w:val="left" w:pos="2520"/>
          <w:tab w:val="left" w:pos="6480"/>
        </w:tabs>
        <w:spacing w:after="120"/>
        <w:ind w:left="426" w:hanging="426"/>
        <w:rPr>
          <w:rFonts w:eastAsia="Calibri" w:cs="Arial"/>
          <w:szCs w:val="24"/>
        </w:rPr>
      </w:pPr>
      <w:r w:rsidRPr="00B62385">
        <w:rPr>
          <w:rFonts w:eastAsia="Calibri" w:cs="Arial"/>
          <w:szCs w:val="24"/>
        </w:rPr>
        <w:t>The</w:t>
      </w:r>
      <w:r w:rsidR="00871323">
        <w:rPr>
          <w:rFonts w:eastAsia="Calibri" w:cs="Arial"/>
          <w:szCs w:val="24"/>
        </w:rPr>
        <w:t xml:space="preserve"> regional</w:t>
      </w:r>
      <w:r w:rsidRPr="00B62385">
        <w:rPr>
          <w:rFonts w:eastAsia="Calibri" w:cs="Arial"/>
          <w:szCs w:val="24"/>
        </w:rPr>
        <w:t xml:space="preserve"> </w:t>
      </w:r>
      <w:r w:rsidR="00871323">
        <w:rPr>
          <w:rFonts w:eastAsia="Calibri" w:cs="Arial"/>
          <w:szCs w:val="24"/>
        </w:rPr>
        <w:t>i</w:t>
      </w:r>
      <w:r w:rsidRPr="00B62385">
        <w:rPr>
          <w:rFonts w:eastAsia="Calibri" w:cs="Arial"/>
          <w:szCs w:val="24"/>
        </w:rPr>
        <w:t xml:space="preserve">nvestigations </w:t>
      </w:r>
      <w:r w:rsidR="00871323">
        <w:rPr>
          <w:rFonts w:eastAsia="Calibri" w:cs="Arial"/>
          <w:szCs w:val="24"/>
        </w:rPr>
        <w:t>t</w:t>
      </w:r>
      <w:r w:rsidRPr="00B62385">
        <w:rPr>
          <w:rFonts w:eastAsia="Calibri" w:cs="Arial"/>
          <w:szCs w:val="24"/>
        </w:rPr>
        <w:t xml:space="preserve">eam will ensure the families of both the perpetrator and the victim are fully informed about the investigation and its parameters, what they can expect from it and how they can contribute. </w:t>
      </w:r>
    </w:p>
    <w:p w:rsidR="00BE15C7" w:rsidRPr="0055045C" w:rsidRDefault="0058419C" w:rsidP="0072371B">
      <w:pPr>
        <w:pStyle w:val="ListParagraph"/>
        <w:numPr>
          <w:ilvl w:val="0"/>
          <w:numId w:val="56"/>
        </w:numPr>
        <w:tabs>
          <w:tab w:val="left" w:pos="426"/>
          <w:tab w:val="left" w:pos="2520"/>
          <w:tab w:val="left" w:pos="6480"/>
        </w:tabs>
        <w:spacing w:after="120"/>
        <w:ind w:left="426" w:hanging="426"/>
        <w:rPr>
          <w:rFonts w:eastAsia="Calibri" w:cs="Arial"/>
          <w:szCs w:val="24"/>
        </w:rPr>
      </w:pPr>
      <w:r w:rsidRPr="00B62385">
        <w:rPr>
          <w:rFonts w:eastAsia="Calibri" w:cs="Arial"/>
          <w:szCs w:val="24"/>
        </w:rPr>
        <w:t xml:space="preserve">The </w:t>
      </w:r>
      <w:r w:rsidR="00871323">
        <w:rPr>
          <w:rFonts w:eastAsia="Calibri" w:cs="Arial"/>
          <w:szCs w:val="24"/>
        </w:rPr>
        <w:t>regional i</w:t>
      </w:r>
      <w:r w:rsidRPr="00B62385">
        <w:rPr>
          <w:rFonts w:eastAsia="Calibri" w:cs="Arial"/>
          <w:szCs w:val="24"/>
        </w:rPr>
        <w:t xml:space="preserve">nvestigations </w:t>
      </w:r>
      <w:r w:rsidR="00871323">
        <w:rPr>
          <w:rFonts w:eastAsia="Calibri" w:cs="Arial"/>
          <w:szCs w:val="24"/>
        </w:rPr>
        <w:t>t</w:t>
      </w:r>
      <w:r w:rsidRPr="00B62385">
        <w:rPr>
          <w:rFonts w:eastAsia="Calibri" w:cs="Arial"/>
          <w:szCs w:val="24"/>
        </w:rPr>
        <w:t>eam will then draw up the terms of reference for the independent investigation following liaison with all appropriate stakeholders.</w:t>
      </w:r>
    </w:p>
    <w:p w:rsidR="00BE15C7" w:rsidRPr="0055045C" w:rsidRDefault="0058419C" w:rsidP="0072371B">
      <w:pPr>
        <w:pStyle w:val="ListParagraph"/>
        <w:numPr>
          <w:ilvl w:val="0"/>
          <w:numId w:val="56"/>
        </w:numPr>
        <w:tabs>
          <w:tab w:val="left" w:pos="426"/>
          <w:tab w:val="left" w:pos="2520"/>
          <w:tab w:val="left" w:pos="6480"/>
        </w:tabs>
        <w:spacing w:after="120"/>
        <w:ind w:left="426" w:hanging="426"/>
        <w:rPr>
          <w:rFonts w:eastAsia="Calibri" w:cs="Arial"/>
          <w:szCs w:val="24"/>
        </w:rPr>
      </w:pPr>
      <w:r w:rsidRPr="00B62385">
        <w:rPr>
          <w:rFonts w:eastAsia="Calibri" w:cs="Arial"/>
          <w:szCs w:val="24"/>
        </w:rPr>
        <w:t>A tender process will then take place</w:t>
      </w:r>
      <w:r w:rsidR="002D1D49">
        <w:rPr>
          <w:rFonts w:eastAsia="Calibri" w:cs="Arial"/>
          <w:szCs w:val="24"/>
        </w:rPr>
        <w:t xml:space="preserve"> to identify</w:t>
      </w:r>
      <w:r w:rsidR="001B610D">
        <w:rPr>
          <w:rFonts w:eastAsia="Calibri" w:cs="Arial"/>
          <w:szCs w:val="24"/>
        </w:rPr>
        <w:t xml:space="preserve"> a suitable independent investigator</w:t>
      </w:r>
      <w:r w:rsidR="00DE1546">
        <w:rPr>
          <w:rFonts w:eastAsia="Calibri" w:cs="Arial"/>
          <w:szCs w:val="24"/>
        </w:rPr>
        <w:t xml:space="preserve"> to conduct the investigation</w:t>
      </w:r>
      <w:r w:rsidR="00197A66">
        <w:rPr>
          <w:rFonts w:eastAsia="Calibri" w:cs="Arial"/>
          <w:szCs w:val="24"/>
        </w:rPr>
        <w:t>.</w:t>
      </w:r>
      <w:r w:rsidRPr="00B62385">
        <w:rPr>
          <w:rFonts w:eastAsia="Calibri" w:cs="Arial"/>
          <w:szCs w:val="24"/>
        </w:rPr>
        <w:t xml:space="preserve"> </w:t>
      </w:r>
      <w:r w:rsidR="00B62385" w:rsidRPr="00B62385">
        <w:rPr>
          <w:rFonts w:eastAsia="Calibri" w:cs="Arial"/>
          <w:szCs w:val="24"/>
        </w:rPr>
        <w:tab/>
      </w:r>
    </w:p>
    <w:p w:rsidR="0058419C" w:rsidRDefault="0058419C" w:rsidP="0072371B">
      <w:pPr>
        <w:pStyle w:val="ListParagraph"/>
        <w:numPr>
          <w:ilvl w:val="0"/>
          <w:numId w:val="56"/>
        </w:numPr>
        <w:tabs>
          <w:tab w:val="left" w:pos="426"/>
          <w:tab w:val="left" w:pos="2520"/>
          <w:tab w:val="left" w:pos="6480"/>
        </w:tabs>
        <w:spacing w:after="120"/>
        <w:ind w:left="426" w:hanging="426"/>
        <w:rPr>
          <w:rFonts w:eastAsia="Calibri" w:cs="Arial"/>
          <w:szCs w:val="24"/>
        </w:rPr>
      </w:pPr>
      <w:r w:rsidRPr="00B62385">
        <w:rPr>
          <w:rFonts w:eastAsia="Calibri" w:cs="Arial"/>
          <w:szCs w:val="24"/>
        </w:rPr>
        <w:t xml:space="preserve">The </w:t>
      </w:r>
      <w:r w:rsidR="00871323">
        <w:rPr>
          <w:rFonts w:eastAsia="Calibri" w:cs="Arial"/>
          <w:szCs w:val="24"/>
        </w:rPr>
        <w:t>regional i</w:t>
      </w:r>
      <w:r w:rsidRPr="00B62385">
        <w:rPr>
          <w:rFonts w:eastAsia="Calibri" w:cs="Arial"/>
          <w:szCs w:val="24"/>
        </w:rPr>
        <w:t xml:space="preserve">nvestigations </w:t>
      </w:r>
      <w:r w:rsidR="00871323">
        <w:rPr>
          <w:rFonts w:eastAsia="Calibri" w:cs="Arial"/>
          <w:szCs w:val="24"/>
        </w:rPr>
        <w:t>t</w:t>
      </w:r>
      <w:r w:rsidRPr="00B62385">
        <w:rPr>
          <w:rFonts w:eastAsia="Calibri" w:cs="Arial"/>
          <w:szCs w:val="24"/>
        </w:rPr>
        <w:t>eam will seek the consent of the perpetrator for access to their medical records to be released to the independent investigators</w:t>
      </w:r>
      <w:r w:rsidR="001B610D">
        <w:rPr>
          <w:rFonts w:eastAsia="Calibri" w:cs="Arial"/>
          <w:szCs w:val="24"/>
        </w:rPr>
        <w:t xml:space="preserve"> </w:t>
      </w:r>
      <w:r w:rsidR="001B610D">
        <w:rPr>
          <w:rFonts w:eastAsia="Calibri" w:cs="Arial"/>
          <w:szCs w:val="24"/>
        </w:rPr>
        <w:lastRenderedPageBreak/>
        <w:t>(NB: agreement to access to the victims medical records may also be required in some cases)</w:t>
      </w:r>
      <w:r w:rsidRPr="00B62385">
        <w:rPr>
          <w:rFonts w:eastAsia="Calibri" w:cs="Arial"/>
          <w:szCs w:val="24"/>
        </w:rPr>
        <w:t xml:space="preserve">. </w:t>
      </w:r>
    </w:p>
    <w:p w:rsidR="00B62385" w:rsidRPr="00B62385" w:rsidRDefault="00B62385" w:rsidP="00B62385">
      <w:pPr>
        <w:pStyle w:val="ListParagraph"/>
        <w:tabs>
          <w:tab w:val="left" w:pos="720"/>
          <w:tab w:val="left" w:pos="2520"/>
          <w:tab w:val="left" w:pos="6480"/>
        </w:tabs>
        <w:spacing w:after="120"/>
        <w:rPr>
          <w:rFonts w:eastAsia="Calibri" w:cs="Arial"/>
          <w:szCs w:val="24"/>
        </w:rPr>
      </w:pPr>
    </w:p>
    <w:p w:rsidR="00385044" w:rsidRPr="0058419C" w:rsidRDefault="0058419C" w:rsidP="0058419C">
      <w:pPr>
        <w:tabs>
          <w:tab w:val="left" w:pos="709"/>
          <w:tab w:val="left" w:pos="2520"/>
          <w:tab w:val="left" w:pos="6480"/>
        </w:tabs>
        <w:spacing w:after="120"/>
        <w:rPr>
          <w:rFonts w:eastAsia="Calibri" w:cs="Arial"/>
          <w:b/>
          <w:szCs w:val="24"/>
        </w:rPr>
      </w:pPr>
      <w:r w:rsidRPr="0058419C">
        <w:rPr>
          <w:rFonts w:cs="Arial"/>
          <w:b/>
          <w:szCs w:val="24"/>
        </w:rPr>
        <w:t>Conducting the independent investigation</w:t>
      </w:r>
      <w:r w:rsidRPr="0058419C">
        <w:rPr>
          <w:rFonts w:cs="Arial"/>
          <w:szCs w:val="24"/>
        </w:rPr>
        <w:t xml:space="preserve"> </w:t>
      </w:r>
    </w:p>
    <w:p w:rsidR="00B62385" w:rsidRPr="0055045C" w:rsidRDefault="0058419C" w:rsidP="0072371B">
      <w:pPr>
        <w:pStyle w:val="ListParagraph"/>
        <w:numPr>
          <w:ilvl w:val="0"/>
          <w:numId w:val="57"/>
        </w:numPr>
        <w:spacing w:after="120"/>
        <w:ind w:left="426" w:hanging="426"/>
        <w:rPr>
          <w:rFonts w:cs="Arial"/>
          <w:szCs w:val="24"/>
        </w:rPr>
      </w:pPr>
      <w:r w:rsidRPr="00B62385">
        <w:rPr>
          <w:rFonts w:cs="Arial"/>
          <w:szCs w:val="24"/>
        </w:rPr>
        <w:t xml:space="preserve">The </w:t>
      </w:r>
      <w:r w:rsidR="00871323">
        <w:rPr>
          <w:rFonts w:cs="Arial"/>
          <w:szCs w:val="24"/>
        </w:rPr>
        <w:t>r</w:t>
      </w:r>
      <w:r w:rsidRPr="00B62385">
        <w:rPr>
          <w:rFonts w:cs="Arial"/>
          <w:szCs w:val="24"/>
        </w:rPr>
        <w:t xml:space="preserve">egional </w:t>
      </w:r>
      <w:r w:rsidR="00871323">
        <w:rPr>
          <w:rFonts w:cs="Arial"/>
          <w:szCs w:val="24"/>
        </w:rPr>
        <w:t>i</w:t>
      </w:r>
      <w:r w:rsidRPr="00B62385">
        <w:rPr>
          <w:rFonts w:cs="Arial"/>
          <w:szCs w:val="24"/>
        </w:rPr>
        <w:t xml:space="preserve">nvestigations </w:t>
      </w:r>
      <w:r w:rsidR="00871323">
        <w:rPr>
          <w:rFonts w:cs="Arial"/>
          <w:szCs w:val="24"/>
        </w:rPr>
        <w:t>t</w:t>
      </w:r>
      <w:r w:rsidRPr="00B62385">
        <w:rPr>
          <w:rFonts w:cs="Arial"/>
          <w:szCs w:val="24"/>
        </w:rPr>
        <w:t>eam will arrange a start-up meeting with key stakeholders to be involved in the investigation process. The purpose is to</w:t>
      </w:r>
      <w:r w:rsidR="00197A66">
        <w:rPr>
          <w:rFonts w:cs="Arial"/>
          <w:szCs w:val="24"/>
        </w:rPr>
        <w:t>;</w:t>
      </w:r>
    </w:p>
    <w:p w:rsidR="0058419C" w:rsidRPr="0058419C" w:rsidRDefault="00770B1B" w:rsidP="0072371B">
      <w:pPr>
        <w:pStyle w:val="ListParagraph"/>
        <w:numPr>
          <w:ilvl w:val="0"/>
          <w:numId w:val="58"/>
        </w:numPr>
        <w:ind w:left="783" w:hanging="357"/>
        <w:contextualSpacing w:val="0"/>
        <w:rPr>
          <w:rFonts w:cs="Arial"/>
          <w:szCs w:val="24"/>
        </w:rPr>
      </w:pPr>
      <w:r>
        <w:rPr>
          <w:rFonts w:cs="Arial"/>
          <w:szCs w:val="24"/>
        </w:rPr>
        <w:t>I</w:t>
      </w:r>
      <w:r w:rsidR="00197A66" w:rsidRPr="0058419C">
        <w:rPr>
          <w:rFonts w:cs="Arial"/>
          <w:szCs w:val="24"/>
        </w:rPr>
        <w:t xml:space="preserve">ntroduce </w:t>
      </w:r>
      <w:r w:rsidR="0058419C" w:rsidRPr="0058419C">
        <w:rPr>
          <w:rFonts w:cs="Arial"/>
          <w:szCs w:val="24"/>
        </w:rPr>
        <w:t>the stakeholders to the Independent investigators</w:t>
      </w:r>
      <w:r>
        <w:rPr>
          <w:rFonts w:cs="Arial"/>
          <w:szCs w:val="24"/>
        </w:rPr>
        <w:t>:</w:t>
      </w:r>
    </w:p>
    <w:p w:rsidR="0058419C" w:rsidRPr="0058419C" w:rsidRDefault="00770B1B" w:rsidP="0072371B">
      <w:pPr>
        <w:pStyle w:val="ListParagraph"/>
        <w:numPr>
          <w:ilvl w:val="0"/>
          <w:numId w:val="58"/>
        </w:numPr>
        <w:ind w:left="783" w:hanging="357"/>
        <w:contextualSpacing w:val="0"/>
        <w:rPr>
          <w:rFonts w:cs="Arial"/>
          <w:szCs w:val="24"/>
        </w:rPr>
      </w:pPr>
      <w:r>
        <w:rPr>
          <w:rFonts w:cs="Arial"/>
          <w:szCs w:val="24"/>
        </w:rPr>
        <w:t>T</w:t>
      </w:r>
      <w:r w:rsidR="00197A66" w:rsidRPr="0058419C">
        <w:rPr>
          <w:rFonts w:cs="Arial"/>
          <w:szCs w:val="24"/>
        </w:rPr>
        <w:t xml:space="preserve">o </w:t>
      </w:r>
      <w:r w:rsidR="0058419C" w:rsidRPr="0058419C">
        <w:rPr>
          <w:rFonts w:cs="Arial"/>
          <w:szCs w:val="24"/>
        </w:rPr>
        <w:t>establish links with each of the stakeholders in order to facilitate the investigation process</w:t>
      </w:r>
      <w:r w:rsidR="00197A66">
        <w:rPr>
          <w:rFonts w:cs="Arial"/>
          <w:szCs w:val="24"/>
        </w:rPr>
        <w:t>;</w:t>
      </w:r>
      <w:r w:rsidR="00197A66" w:rsidRPr="0058419C">
        <w:rPr>
          <w:rFonts w:cs="Arial"/>
          <w:szCs w:val="24"/>
        </w:rPr>
        <w:t xml:space="preserve">    </w:t>
      </w:r>
    </w:p>
    <w:p w:rsidR="0058419C" w:rsidRPr="0058419C" w:rsidRDefault="00770B1B" w:rsidP="0072371B">
      <w:pPr>
        <w:pStyle w:val="ListParagraph"/>
        <w:numPr>
          <w:ilvl w:val="0"/>
          <w:numId w:val="58"/>
        </w:numPr>
        <w:ind w:left="783" w:hanging="357"/>
        <w:contextualSpacing w:val="0"/>
        <w:rPr>
          <w:rFonts w:cs="Arial"/>
          <w:szCs w:val="24"/>
        </w:rPr>
      </w:pPr>
      <w:r>
        <w:rPr>
          <w:rFonts w:cs="Arial"/>
          <w:szCs w:val="24"/>
        </w:rPr>
        <w:t>T</w:t>
      </w:r>
      <w:r w:rsidR="00197A66" w:rsidRPr="0058419C">
        <w:rPr>
          <w:rFonts w:cs="Arial"/>
          <w:szCs w:val="24"/>
        </w:rPr>
        <w:t xml:space="preserve">o </w:t>
      </w:r>
      <w:r w:rsidR="0058419C" w:rsidRPr="0058419C">
        <w:rPr>
          <w:rFonts w:cs="Arial"/>
          <w:szCs w:val="24"/>
        </w:rPr>
        <w:t>refine the terms of reference</w:t>
      </w:r>
      <w:r w:rsidR="00197A66">
        <w:rPr>
          <w:rFonts w:cs="Arial"/>
          <w:szCs w:val="24"/>
        </w:rPr>
        <w:t>;</w:t>
      </w:r>
    </w:p>
    <w:p w:rsidR="0058419C" w:rsidRPr="0058419C" w:rsidRDefault="00770B1B" w:rsidP="0072371B">
      <w:pPr>
        <w:pStyle w:val="ListParagraph"/>
        <w:numPr>
          <w:ilvl w:val="0"/>
          <w:numId w:val="58"/>
        </w:numPr>
        <w:ind w:left="783" w:hanging="357"/>
        <w:contextualSpacing w:val="0"/>
        <w:rPr>
          <w:rFonts w:cs="Arial"/>
          <w:szCs w:val="24"/>
        </w:rPr>
      </w:pPr>
      <w:r>
        <w:rPr>
          <w:rFonts w:cs="Arial"/>
          <w:szCs w:val="24"/>
        </w:rPr>
        <w:t>S</w:t>
      </w:r>
      <w:r w:rsidR="00197A66" w:rsidRPr="0058419C">
        <w:rPr>
          <w:rFonts w:cs="Arial"/>
          <w:szCs w:val="24"/>
        </w:rPr>
        <w:t xml:space="preserve">et </w:t>
      </w:r>
      <w:r w:rsidR="0058419C" w:rsidRPr="0058419C">
        <w:rPr>
          <w:rFonts w:cs="Arial"/>
          <w:szCs w:val="24"/>
        </w:rPr>
        <w:t>timescales for monitoring purposes</w:t>
      </w:r>
      <w:r w:rsidR="00197A66">
        <w:rPr>
          <w:rFonts w:cs="Arial"/>
          <w:szCs w:val="24"/>
        </w:rPr>
        <w:t>; and</w:t>
      </w:r>
    </w:p>
    <w:p w:rsidR="0058419C" w:rsidRDefault="00770B1B" w:rsidP="0072371B">
      <w:pPr>
        <w:pStyle w:val="ListParagraph"/>
        <w:numPr>
          <w:ilvl w:val="0"/>
          <w:numId w:val="58"/>
        </w:numPr>
        <w:ind w:left="783" w:hanging="357"/>
        <w:contextualSpacing w:val="0"/>
        <w:rPr>
          <w:rFonts w:cs="Arial"/>
          <w:szCs w:val="24"/>
        </w:rPr>
      </w:pPr>
      <w:r>
        <w:rPr>
          <w:rFonts w:cs="Arial"/>
          <w:szCs w:val="24"/>
        </w:rPr>
        <w:t>D</w:t>
      </w:r>
      <w:r w:rsidR="00197A66" w:rsidRPr="0058419C">
        <w:rPr>
          <w:rFonts w:cs="Arial"/>
          <w:szCs w:val="24"/>
        </w:rPr>
        <w:t xml:space="preserve">iscuss </w:t>
      </w:r>
      <w:r w:rsidR="0058419C" w:rsidRPr="0058419C">
        <w:rPr>
          <w:rFonts w:cs="Arial"/>
          <w:szCs w:val="24"/>
        </w:rPr>
        <w:t>issues of concern</w:t>
      </w:r>
    </w:p>
    <w:p w:rsidR="00385044" w:rsidRPr="0058419C" w:rsidRDefault="00385044" w:rsidP="000F5987">
      <w:pPr>
        <w:pStyle w:val="ListParagraph"/>
        <w:ind w:left="783"/>
        <w:contextualSpacing w:val="0"/>
        <w:rPr>
          <w:rFonts w:cs="Arial"/>
          <w:szCs w:val="24"/>
        </w:rPr>
      </w:pPr>
    </w:p>
    <w:p w:rsidR="0058419C" w:rsidRPr="00B62385" w:rsidRDefault="0058419C" w:rsidP="0072371B">
      <w:pPr>
        <w:pStyle w:val="ListParagraph"/>
        <w:numPr>
          <w:ilvl w:val="0"/>
          <w:numId w:val="57"/>
        </w:numPr>
        <w:tabs>
          <w:tab w:val="left" w:pos="0"/>
        </w:tabs>
        <w:spacing w:after="120"/>
        <w:ind w:left="426" w:hanging="426"/>
        <w:rPr>
          <w:rFonts w:eastAsia="Calibri" w:cs="Arial"/>
          <w:szCs w:val="24"/>
        </w:rPr>
      </w:pPr>
      <w:r w:rsidRPr="00B62385">
        <w:rPr>
          <w:rFonts w:eastAsia="Calibri" w:cs="Arial"/>
          <w:szCs w:val="24"/>
        </w:rPr>
        <w:t xml:space="preserve">The independent investigation should be completed in </w:t>
      </w:r>
      <w:r w:rsidR="00770B1B">
        <w:rPr>
          <w:rFonts w:eastAsia="Calibri" w:cs="Arial"/>
          <w:szCs w:val="24"/>
        </w:rPr>
        <w:t>6</w:t>
      </w:r>
      <w:r w:rsidRPr="00B62385">
        <w:rPr>
          <w:rFonts w:eastAsia="Calibri" w:cs="Arial"/>
          <w:szCs w:val="24"/>
        </w:rPr>
        <w:t xml:space="preserve"> months</w:t>
      </w:r>
      <w:r w:rsidR="001B610D">
        <w:rPr>
          <w:rFonts w:eastAsia="Calibri" w:cs="Arial"/>
          <w:szCs w:val="24"/>
        </w:rPr>
        <w:t xml:space="preserve"> from the date it is commissioned. </w:t>
      </w:r>
    </w:p>
    <w:p w:rsidR="0058419C" w:rsidRPr="00B62385" w:rsidRDefault="0058419C" w:rsidP="0072371B">
      <w:pPr>
        <w:pStyle w:val="ListParagraph"/>
        <w:numPr>
          <w:ilvl w:val="0"/>
          <w:numId w:val="59"/>
        </w:numPr>
        <w:tabs>
          <w:tab w:val="left" w:pos="720"/>
          <w:tab w:val="left" w:pos="2520"/>
          <w:tab w:val="left" w:pos="6480"/>
        </w:tabs>
        <w:spacing w:after="120"/>
        <w:ind w:left="426" w:hanging="426"/>
        <w:rPr>
          <w:rFonts w:eastAsia="Calibri" w:cs="Arial"/>
          <w:szCs w:val="24"/>
        </w:rPr>
      </w:pPr>
      <w:r w:rsidRPr="00B62385">
        <w:rPr>
          <w:rFonts w:eastAsia="Calibri" w:cs="Arial"/>
          <w:szCs w:val="24"/>
        </w:rPr>
        <w:t>Throughout the investigation</w:t>
      </w:r>
      <w:r w:rsidR="00197A66">
        <w:rPr>
          <w:rFonts w:eastAsia="Calibri" w:cs="Arial"/>
          <w:szCs w:val="24"/>
        </w:rPr>
        <w:t>,</w:t>
      </w:r>
      <w:r w:rsidRPr="00B62385">
        <w:rPr>
          <w:rFonts w:eastAsia="Calibri" w:cs="Arial"/>
          <w:szCs w:val="24"/>
        </w:rPr>
        <w:t xml:space="preserve"> monthly reports will be provided by the independent investigator to the NHS England Regional Investigations Team and bi-monthly reports to all stakeholders.</w:t>
      </w:r>
    </w:p>
    <w:p w:rsidR="0058419C" w:rsidRPr="00B62385" w:rsidRDefault="0058419C" w:rsidP="0072371B">
      <w:pPr>
        <w:pStyle w:val="ListParagraph"/>
        <w:numPr>
          <w:ilvl w:val="0"/>
          <w:numId w:val="59"/>
        </w:numPr>
        <w:tabs>
          <w:tab w:val="left" w:pos="720"/>
          <w:tab w:val="left" w:pos="2520"/>
          <w:tab w:val="left" w:pos="6480"/>
        </w:tabs>
        <w:spacing w:after="120"/>
        <w:ind w:left="426" w:hanging="426"/>
        <w:rPr>
          <w:rFonts w:eastAsia="Calibri" w:cs="Arial"/>
          <w:szCs w:val="24"/>
        </w:rPr>
      </w:pPr>
      <w:r w:rsidRPr="00B62385">
        <w:rPr>
          <w:rFonts w:eastAsia="Calibri" w:cs="Arial"/>
          <w:szCs w:val="24"/>
        </w:rPr>
        <w:t>The first draft of the</w:t>
      </w:r>
      <w:r w:rsidR="001B610D">
        <w:rPr>
          <w:rFonts w:eastAsia="Calibri" w:cs="Arial"/>
          <w:szCs w:val="24"/>
        </w:rPr>
        <w:t xml:space="preserve"> final</w:t>
      </w:r>
      <w:r w:rsidRPr="00B62385">
        <w:rPr>
          <w:rFonts w:eastAsia="Calibri" w:cs="Arial"/>
          <w:szCs w:val="24"/>
        </w:rPr>
        <w:t xml:space="preserve"> report will be shared by the </w:t>
      </w:r>
      <w:r w:rsidR="00871323">
        <w:rPr>
          <w:rFonts w:eastAsia="Calibri" w:cs="Arial"/>
          <w:szCs w:val="24"/>
        </w:rPr>
        <w:t>investigator with</w:t>
      </w:r>
      <w:r w:rsidRPr="00B62385">
        <w:rPr>
          <w:rFonts w:eastAsia="Calibri" w:cs="Arial"/>
          <w:szCs w:val="24"/>
        </w:rPr>
        <w:t xml:space="preserve"> stakeholders </w:t>
      </w:r>
      <w:r w:rsidR="00B62385">
        <w:rPr>
          <w:rFonts w:eastAsia="Calibri" w:cs="Arial"/>
          <w:szCs w:val="24"/>
        </w:rPr>
        <w:t xml:space="preserve">to check its factual accuracy. </w:t>
      </w:r>
      <w:r w:rsidRPr="00B62385">
        <w:rPr>
          <w:rFonts w:eastAsia="Calibri" w:cs="Arial"/>
          <w:szCs w:val="24"/>
        </w:rPr>
        <w:t xml:space="preserve">Commissioners and providers should </w:t>
      </w:r>
      <w:r w:rsidR="001B610D">
        <w:rPr>
          <w:rFonts w:eastAsia="Calibri" w:cs="Arial"/>
          <w:szCs w:val="24"/>
        </w:rPr>
        <w:t xml:space="preserve">then </w:t>
      </w:r>
      <w:r w:rsidRPr="00B62385">
        <w:rPr>
          <w:rFonts w:eastAsia="Calibri" w:cs="Arial"/>
          <w:szCs w:val="24"/>
        </w:rPr>
        <w:t>meet to begin the development of the action plan to address the report’s recommendations. Comments from stakeholders during this process will also be considered by the Independent Investigators for inclusion in the final draft.</w:t>
      </w:r>
    </w:p>
    <w:p w:rsidR="0058419C" w:rsidRDefault="0058419C" w:rsidP="0072371B">
      <w:pPr>
        <w:pStyle w:val="ListParagraph"/>
        <w:numPr>
          <w:ilvl w:val="0"/>
          <w:numId w:val="59"/>
        </w:numPr>
        <w:tabs>
          <w:tab w:val="left" w:pos="720"/>
          <w:tab w:val="left" w:pos="2520"/>
          <w:tab w:val="left" w:pos="6480"/>
        </w:tabs>
        <w:spacing w:after="120"/>
        <w:ind w:left="426" w:hanging="426"/>
        <w:rPr>
          <w:rFonts w:eastAsia="Calibri" w:cs="Arial"/>
          <w:szCs w:val="24"/>
        </w:rPr>
      </w:pPr>
      <w:r w:rsidRPr="00B62385">
        <w:rPr>
          <w:rFonts w:eastAsia="Calibri" w:cs="Arial"/>
          <w:szCs w:val="24"/>
        </w:rPr>
        <w:t>The final draft</w:t>
      </w:r>
      <w:r w:rsidR="001B610D">
        <w:rPr>
          <w:rFonts w:eastAsia="Calibri" w:cs="Arial"/>
          <w:szCs w:val="24"/>
        </w:rPr>
        <w:t xml:space="preserve"> report</w:t>
      </w:r>
      <w:r w:rsidRPr="00B62385">
        <w:rPr>
          <w:rFonts w:eastAsia="Calibri" w:cs="Arial"/>
          <w:szCs w:val="24"/>
        </w:rPr>
        <w:t xml:space="preserve"> will be submitted to the Regional Investigations team</w:t>
      </w:r>
      <w:r w:rsidR="00DE1546">
        <w:rPr>
          <w:rFonts w:eastAsia="Calibri" w:cs="Arial"/>
          <w:szCs w:val="24"/>
        </w:rPr>
        <w:t xml:space="preserve"> </w:t>
      </w:r>
      <w:r w:rsidR="00770B1B">
        <w:rPr>
          <w:rFonts w:eastAsia="Calibri" w:cs="Arial"/>
          <w:szCs w:val="24"/>
        </w:rPr>
        <w:t xml:space="preserve">which </w:t>
      </w:r>
      <w:r w:rsidR="00DE1546">
        <w:rPr>
          <w:rFonts w:eastAsia="Calibri" w:cs="Arial"/>
          <w:szCs w:val="24"/>
        </w:rPr>
        <w:t>will ensure the necessary steps are undertaken to agree sign-off, publication and closure of the investigation</w:t>
      </w:r>
      <w:r w:rsidRPr="00B62385">
        <w:rPr>
          <w:rFonts w:eastAsia="Calibri" w:cs="Arial"/>
          <w:szCs w:val="24"/>
        </w:rPr>
        <w:t>.</w:t>
      </w:r>
    </w:p>
    <w:p w:rsidR="00B62385" w:rsidRPr="00B62385" w:rsidRDefault="00B62385" w:rsidP="00B62385">
      <w:pPr>
        <w:pStyle w:val="ListParagraph"/>
        <w:tabs>
          <w:tab w:val="left" w:pos="720"/>
          <w:tab w:val="left" w:pos="2520"/>
          <w:tab w:val="left" w:pos="6480"/>
        </w:tabs>
        <w:spacing w:after="120"/>
        <w:rPr>
          <w:rFonts w:eastAsia="Calibri" w:cs="Arial"/>
          <w:szCs w:val="24"/>
        </w:rPr>
      </w:pPr>
    </w:p>
    <w:p w:rsidR="00385044" w:rsidRPr="0058419C" w:rsidRDefault="0058419C" w:rsidP="0058419C">
      <w:pPr>
        <w:tabs>
          <w:tab w:val="left" w:pos="720"/>
          <w:tab w:val="left" w:pos="2520"/>
          <w:tab w:val="left" w:pos="6480"/>
        </w:tabs>
        <w:spacing w:after="120"/>
        <w:rPr>
          <w:rFonts w:eastAsia="Calibri" w:cs="Arial"/>
          <w:b/>
          <w:szCs w:val="24"/>
        </w:rPr>
      </w:pPr>
      <w:r w:rsidRPr="0058419C">
        <w:rPr>
          <w:rFonts w:eastAsia="Calibri" w:cs="Arial"/>
          <w:b/>
          <w:szCs w:val="24"/>
        </w:rPr>
        <w:t>Information Governance</w:t>
      </w:r>
    </w:p>
    <w:p w:rsidR="00D333DF" w:rsidRDefault="0058419C" w:rsidP="0072371B">
      <w:pPr>
        <w:pStyle w:val="ListParagraph"/>
        <w:numPr>
          <w:ilvl w:val="0"/>
          <w:numId w:val="60"/>
        </w:numPr>
        <w:tabs>
          <w:tab w:val="left" w:pos="426"/>
          <w:tab w:val="left" w:pos="2520"/>
          <w:tab w:val="left" w:pos="6480"/>
        </w:tabs>
        <w:spacing w:after="120"/>
        <w:ind w:left="426" w:hanging="426"/>
        <w:rPr>
          <w:rFonts w:eastAsia="Calibri" w:cs="Arial"/>
          <w:szCs w:val="24"/>
        </w:rPr>
      </w:pPr>
      <w:r w:rsidRPr="00B62385">
        <w:rPr>
          <w:rFonts w:eastAsia="Calibri" w:cs="Arial"/>
          <w:szCs w:val="24"/>
        </w:rPr>
        <w:t xml:space="preserve">In undertaking and commissioning investigations, personal information and records are shared </w:t>
      </w:r>
      <w:r w:rsidR="00CF5433">
        <w:rPr>
          <w:rFonts w:eastAsia="Calibri" w:cs="Arial"/>
          <w:szCs w:val="24"/>
        </w:rPr>
        <w:t xml:space="preserve">as necessary </w:t>
      </w:r>
      <w:r w:rsidRPr="00B62385">
        <w:rPr>
          <w:rFonts w:eastAsia="Calibri" w:cs="Arial"/>
          <w:szCs w:val="24"/>
        </w:rPr>
        <w:t xml:space="preserve">by providers, CCGs, NHS England and </w:t>
      </w:r>
      <w:r w:rsidR="00197A66">
        <w:rPr>
          <w:rFonts w:eastAsia="Calibri" w:cs="Arial"/>
          <w:szCs w:val="24"/>
        </w:rPr>
        <w:t>i</w:t>
      </w:r>
      <w:r w:rsidR="00197A66" w:rsidRPr="00B62385">
        <w:rPr>
          <w:rFonts w:eastAsia="Calibri" w:cs="Arial"/>
          <w:szCs w:val="24"/>
        </w:rPr>
        <w:t xml:space="preserve">ndependent </w:t>
      </w:r>
      <w:r w:rsidR="00197A66">
        <w:rPr>
          <w:rFonts w:eastAsia="Calibri" w:cs="Arial"/>
          <w:szCs w:val="24"/>
        </w:rPr>
        <w:t>i</w:t>
      </w:r>
      <w:r w:rsidR="00197A66" w:rsidRPr="00B62385">
        <w:rPr>
          <w:rFonts w:eastAsia="Calibri" w:cs="Arial"/>
          <w:szCs w:val="24"/>
        </w:rPr>
        <w:t>nvestigators</w:t>
      </w:r>
      <w:r w:rsidRPr="00B62385">
        <w:rPr>
          <w:rFonts w:eastAsia="Calibri" w:cs="Arial"/>
          <w:szCs w:val="24"/>
        </w:rPr>
        <w:t xml:space="preserve">. Personal information relating to patients and staff will be treated in line with NHS England’s policies on confidentiality, </w:t>
      </w:r>
      <w:r w:rsidR="00254815">
        <w:rPr>
          <w:rFonts w:eastAsia="Calibri" w:cs="Arial"/>
          <w:szCs w:val="24"/>
        </w:rPr>
        <w:t>d</w:t>
      </w:r>
      <w:r w:rsidRPr="00B62385">
        <w:rPr>
          <w:rFonts w:eastAsia="Calibri" w:cs="Arial"/>
          <w:szCs w:val="24"/>
        </w:rPr>
        <w:t xml:space="preserve">ata protection and </w:t>
      </w:r>
      <w:r w:rsidR="00197A66">
        <w:rPr>
          <w:rFonts w:eastAsia="Calibri" w:cs="Arial"/>
          <w:szCs w:val="24"/>
        </w:rPr>
        <w:t>i</w:t>
      </w:r>
      <w:r w:rsidR="00197A66" w:rsidRPr="00B62385">
        <w:rPr>
          <w:rFonts w:eastAsia="Calibri" w:cs="Arial"/>
          <w:szCs w:val="24"/>
        </w:rPr>
        <w:t xml:space="preserve">nformation </w:t>
      </w:r>
      <w:r w:rsidR="00197A66">
        <w:rPr>
          <w:rFonts w:eastAsia="Calibri" w:cs="Arial"/>
          <w:szCs w:val="24"/>
        </w:rPr>
        <w:t>g</w:t>
      </w:r>
      <w:r w:rsidR="00197A66" w:rsidRPr="00B62385">
        <w:rPr>
          <w:rFonts w:eastAsia="Calibri" w:cs="Arial"/>
          <w:szCs w:val="24"/>
        </w:rPr>
        <w:t>overnance</w:t>
      </w:r>
      <w:r w:rsidRPr="00B62385">
        <w:rPr>
          <w:rFonts w:eastAsia="Calibri" w:cs="Arial"/>
          <w:szCs w:val="24"/>
        </w:rPr>
        <w:t>.</w:t>
      </w:r>
    </w:p>
    <w:p w:rsidR="0058419C" w:rsidRPr="00D333DF" w:rsidRDefault="00197A66" w:rsidP="0072371B">
      <w:pPr>
        <w:pStyle w:val="ListParagraph"/>
        <w:numPr>
          <w:ilvl w:val="0"/>
          <w:numId w:val="60"/>
        </w:numPr>
        <w:tabs>
          <w:tab w:val="left" w:pos="426"/>
          <w:tab w:val="left" w:pos="2520"/>
          <w:tab w:val="left" w:pos="6480"/>
        </w:tabs>
        <w:spacing w:after="120"/>
        <w:ind w:left="426" w:hanging="426"/>
        <w:rPr>
          <w:rFonts w:eastAsia="Calibri" w:cs="Arial"/>
          <w:szCs w:val="24"/>
        </w:rPr>
      </w:pPr>
      <w:r w:rsidRPr="00D333DF">
        <w:rPr>
          <w:rFonts w:eastAsia="Calibri" w:cs="Arial"/>
          <w:szCs w:val="24"/>
        </w:rPr>
        <w:t>Access to p</w:t>
      </w:r>
      <w:r w:rsidR="0058419C" w:rsidRPr="00D333DF">
        <w:rPr>
          <w:rFonts w:eastAsia="Calibri" w:cs="Arial"/>
          <w:szCs w:val="24"/>
        </w:rPr>
        <w:t>ersonal identifiable information about patients in these cases will be restricted to staff working in investigation teams, the legal advisors and internally within NHS England</w:t>
      </w:r>
      <w:r w:rsidR="00325D8A" w:rsidRPr="00325D8A">
        <w:t xml:space="preserve"> </w:t>
      </w:r>
      <w:r w:rsidR="00325D8A" w:rsidRPr="00D333DF">
        <w:rPr>
          <w:rFonts w:eastAsia="Calibri" w:cs="Arial"/>
          <w:szCs w:val="24"/>
        </w:rPr>
        <w:t>when necessary for the purposes of the investigation.</w:t>
      </w:r>
    </w:p>
    <w:p w:rsidR="00D333DF" w:rsidRDefault="00C85D17" w:rsidP="0072371B">
      <w:pPr>
        <w:pStyle w:val="ListParagraph"/>
        <w:numPr>
          <w:ilvl w:val="0"/>
          <w:numId w:val="60"/>
        </w:numPr>
        <w:tabs>
          <w:tab w:val="left" w:pos="426"/>
          <w:tab w:val="left" w:pos="2520"/>
          <w:tab w:val="left" w:pos="6480"/>
        </w:tabs>
        <w:spacing w:after="120"/>
        <w:ind w:left="426" w:hanging="426"/>
        <w:rPr>
          <w:rFonts w:eastAsia="Calibri" w:cs="Arial"/>
          <w:szCs w:val="24"/>
        </w:rPr>
      </w:pPr>
      <w:r>
        <w:rPr>
          <w:rFonts w:eastAsia="Calibri" w:cs="Arial"/>
          <w:szCs w:val="24"/>
        </w:rPr>
        <w:t>Internal</w:t>
      </w:r>
      <w:r w:rsidR="00346CD0">
        <w:rPr>
          <w:rFonts w:eastAsia="Calibri" w:cs="Arial"/>
          <w:szCs w:val="24"/>
        </w:rPr>
        <w:t xml:space="preserve"> and independent</w:t>
      </w:r>
      <w:r>
        <w:rPr>
          <w:rFonts w:eastAsia="Calibri" w:cs="Arial"/>
          <w:szCs w:val="24"/>
        </w:rPr>
        <w:t xml:space="preserve"> investigation reports will be shared with stakeholders, including the family of the victims involved</w:t>
      </w:r>
      <w:r w:rsidR="00197A66">
        <w:rPr>
          <w:rFonts w:eastAsia="Calibri" w:cs="Arial"/>
          <w:szCs w:val="24"/>
        </w:rPr>
        <w:t>. I</w:t>
      </w:r>
      <w:r>
        <w:rPr>
          <w:rFonts w:eastAsia="Calibri" w:cs="Arial"/>
          <w:szCs w:val="24"/>
        </w:rPr>
        <w:t>ndependent investigation reports (and action plans) will be published</w:t>
      </w:r>
      <w:r w:rsidR="00197A66">
        <w:rPr>
          <w:rFonts w:eastAsia="Calibri" w:cs="Arial"/>
          <w:szCs w:val="24"/>
        </w:rPr>
        <w:t>,</w:t>
      </w:r>
      <w:r>
        <w:rPr>
          <w:rFonts w:eastAsia="Calibri" w:cs="Arial"/>
          <w:szCs w:val="24"/>
        </w:rPr>
        <w:t xml:space="preserve"> </w:t>
      </w:r>
      <w:r w:rsidRPr="00C85D17">
        <w:rPr>
          <w:rFonts w:eastAsia="Calibri" w:cs="Arial"/>
          <w:szCs w:val="24"/>
        </w:rPr>
        <w:t>so issues concerning anonymity and consent for disclosure of per</w:t>
      </w:r>
      <w:r>
        <w:rPr>
          <w:rFonts w:eastAsia="Calibri" w:cs="Arial"/>
          <w:szCs w:val="24"/>
        </w:rPr>
        <w:t xml:space="preserve">sonal information must be </w:t>
      </w:r>
      <w:r w:rsidRPr="00C85D17">
        <w:rPr>
          <w:rFonts w:eastAsia="Calibri" w:cs="Arial"/>
          <w:szCs w:val="24"/>
        </w:rPr>
        <w:t>considered at an early stage in the investigation process.</w:t>
      </w:r>
      <w:r>
        <w:rPr>
          <w:rFonts w:eastAsia="Calibri" w:cs="Arial"/>
          <w:szCs w:val="24"/>
        </w:rPr>
        <w:t xml:space="preserve"> </w:t>
      </w:r>
      <w:r w:rsidRPr="00C85D17">
        <w:rPr>
          <w:rFonts w:eastAsia="Calibri" w:cs="Arial"/>
          <w:szCs w:val="24"/>
        </w:rPr>
        <w:t xml:space="preserve">Each NHS organisation has a Caldicott Guardian who is responsible for protecting  the  confidentiality  of  patient  and  service-user  information  and  enabling  appropriate information-sharing. </w:t>
      </w:r>
      <w:r>
        <w:rPr>
          <w:rFonts w:eastAsia="Calibri" w:cs="Arial"/>
          <w:szCs w:val="24"/>
        </w:rPr>
        <w:t>A</w:t>
      </w:r>
      <w:r w:rsidRPr="00C85D17">
        <w:rPr>
          <w:rFonts w:eastAsia="Calibri" w:cs="Arial"/>
          <w:szCs w:val="24"/>
        </w:rPr>
        <w:t>dvice from the Caldicott Guardian</w:t>
      </w:r>
      <w:r>
        <w:rPr>
          <w:rFonts w:eastAsia="Calibri" w:cs="Arial"/>
          <w:szCs w:val="24"/>
        </w:rPr>
        <w:t xml:space="preserve"> </w:t>
      </w:r>
      <w:r w:rsidR="00346CD0">
        <w:rPr>
          <w:rFonts w:eastAsia="Calibri" w:cs="Arial"/>
          <w:szCs w:val="24"/>
        </w:rPr>
        <w:t>should</w:t>
      </w:r>
      <w:r>
        <w:rPr>
          <w:rFonts w:eastAsia="Calibri" w:cs="Arial"/>
          <w:szCs w:val="24"/>
        </w:rPr>
        <w:t xml:space="preserve"> be sought</w:t>
      </w:r>
      <w:r w:rsidRPr="00C85D17">
        <w:rPr>
          <w:rFonts w:eastAsia="Calibri" w:cs="Arial"/>
          <w:szCs w:val="24"/>
        </w:rPr>
        <w:t xml:space="preserve"> if guidance is needed about the disclosure of patient identifiable information</w:t>
      </w:r>
      <w:r>
        <w:rPr>
          <w:rFonts w:eastAsia="Calibri" w:cs="Arial"/>
          <w:szCs w:val="24"/>
        </w:rPr>
        <w:t xml:space="preserve">. </w:t>
      </w:r>
    </w:p>
    <w:p w:rsidR="00AC49F0" w:rsidRPr="00D333DF" w:rsidRDefault="00AC49F0" w:rsidP="0072371B">
      <w:pPr>
        <w:pStyle w:val="ListParagraph"/>
        <w:numPr>
          <w:ilvl w:val="0"/>
          <w:numId w:val="60"/>
        </w:numPr>
        <w:tabs>
          <w:tab w:val="left" w:pos="426"/>
          <w:tab w:val="left" w:pos="2520"/>
          <w:tab w:val="left" w:pos="6480"/>
        </w:tabs>
        <w:spacing w:after="120"/>
        <w:ind w:left="426" w:hanging="426"/>
        <w:rPr>
          <w:rFonts w:eastAsia="Calibri" w:cs="Arial"/>
          <w:szCs w:val="24"/>
        </w:rPr>
      </w:pPr>
      <w:r w:rsidRPr="00D333DF">
        <w:rPr>
          <w:rFonts w:eastAsia="Calibri" w:cs="Arial"/>
          <w:szCs w:val="24"/>
        </w:rPr>
        <w:t>Information Governance must not stand in the way of a thorough investigation process that involves the victim</w:t>
      </w:r>
      <w:r w:rsidR="000D4248">
        <w:rPr>
          <w:rFonts w:eastAsia="Calibri" w:cs="Arial"/>
          <w:szCs w:val="24"/>
        </w:rPr>
        <w:t>’</w:t>
      </w:r>
      <w:r w:rsidRPr="00D333DF">
        <w:rPr>
          <w:rFonts w:eastAsia="Calibri" w:cs="Arial"/>
          <w:szCs w:val="24"/>
        </w:rPr>
        <w:t xml:space="preserve">s and their families. Those undertaking investigations should be aware of how to access the support of their Information </w:t>
      </w:r>
      <w:r w:rsidRPr="00D333DF">
        <w:rPr>
          <w:rFonts w:eastAsia="Calibri" w:cs="Arial"/>
          <w:szCs w:val="24"/>
        </w:rPr>
        <w:lastRenderedPageBreak/>
        <w:t xml:space="preserve">Governance </w:t>
      </w:r>
      <w:r w:rsidR="00ED39FA" w:rsidRPr="00D333DF">
        <w:rPr>
          <w:rFonts w:eastAsia="Calibri" w:cs="Arial"/>
          <w:szCs w:val="24"/>
        </w:rPr>
        <w:t>L</w:t>
      </w:r>
      <w:r w:rsidRPr="00D333DF">
        <w:rPr>
          <w:rFonts w:eastAsia="Calibri" w:cs="Arial"/>
          <w:szCs w:val="24"/>
        </w:rPr>
        <w:t>eads</w:t>
      </w:r>
      <w:r w:rsidR="00ED39FA" w:rsidRPr="00D333DF">
        <w:rPr>
          <w:rFonts w:eastAsia="Calibri" w:cs="Arial"/>
          <w:szCs w:val="24"/>
        </w:rPr>
        <w:t>,</w:t>
      </w:r>
      <w:r w:rsidRPr="00D333DF">
        <w:rPr>
          <w:rFonts w:eastAsia="Calibri" w:cs="Arial"/>
          <w:szCs w:val="24"/>
        </w:rPr>
        <w:t xml:space="preserve"> </w:t>
      </w:r>
      <w:r w:rsidR="00ED39FA" w:rsidRPr="00D333DF">
        <w:rPr>
          <w:rFonts w:eastAsia="Calibri" w:cs="Arial"/>
          <w:szCs w:val="24"/>
        </w:rPr>
        <w:t xml:space="preserve">who </w:t>
      </w:r>
      <w:r w:rsidRPr="00D333DF">
        <w:rPr>
          <w:rFonts w:eastAsia="Calibri" w:cs="Arial"/>
          <w:szCs w:val="24"/>
        </w:rPr>
        <w:t>can provide guidance in relation to the requirements of the duty of confidentiality, Data Protection Act and Human Rights Act</w:t>
      </w:r>
      <w:r w:rsidR="00ED39FA" w:rsidRPr="00D333DF">
        <w:rPr>
          <w:rFonts w:eastAsia="Calibri" w:cs="Arial"/>
          <w:szCs w:val="24"/>
        </w:rPr>
        <w:t xml:space="preserve">, </w:t>
      </w:r>
      <w:r w:rsidRPr="00D333DF">
        <w:rPr>
          <w:rFonts w:eastAsia="Calibri" w:cs="Arial"/>
          <w:szCs w:val="24"/>
        </w:rPr>
        <w:t>particularly where patients have expressed relevant views abo</w:t>
      </w:r>
      <w:r w:rsidR="00D333DF">
        <w:rPr>
          <w:rFonts w:eastAsia="Calibri" w:cs="Arial"/>
          <w:szCs w:val="24"/>
        </w:rPr>
        <w:t xml:space="preserve">ut access to their information. </w:t>
      </w:r>
      <w:r w:rsidR="00ED39FA" w:rsidRPr="00D333DF">
        <w:rPr>
          <w:rFonts w:eastAsia="Calibri" w:cs="Arial"/>
          <w:szCs w:val="24"/>
        </w:rPr>
        <w:t xml:space="preserve">Organisations have a responsibility to </w:t>
      </w:r>
      <w:r w:rsidRPr="00D333DF">
        <w:rPr>
          <w:rFonts w:eastAsia="Calibri" w:cs="Arial"/>
          <w:szCs w:val="24"/>
        </w:rPr>
        <w:t xml:space="preserve">understand </w:t>
      </w:r>
      <w:r w:rsidR="00557F69" w:rsidRPr="00D333DF">
        <w:rPr>
          <w:rFonts w:eastAsia="Calibri" w:cs="Arial"/>
          <w:szCs w:val="24"/>
        </w:rPr>
        <w:t>these</w:t>
      </w:r>
      <w:r w:rsidR="00ED39FA" w:rsidRPr="00D333DF">
        <w:rPr>
          <w:rFonts w:eastAsia="Calibri" w:cs="Arial"/>
          <w:szCs w:val="24"/>
        </w:rPr>
        <w:t xml:space="preserve"> issues </w:t>
      </w:r>
      <w:r w:rsidR="00557F69" w:rsidRPr="00D333DF">
        <w:rPr>
          <w:rFonts w:eastAsia="Calibri" w:cs="Arial"/>
          <w:szCs w:val="24"/>
        </w:rPr>
        <w:t>and</w:t>
      </w:r>
      <w:r w:rsidRPr="00D333DF">
        <w:rPr>
          <w:rFonts w:eastAsia="Calibri" w:cs="Arial"/>
          <w:szCs w:val="24"/>
        </w:rPr>
        <w:t xml:space="preserve"> deliver an open and transparent report.</w:t>
      </w:r>
    </w:p>
    <w:p w:rsidR="00B62385" w:rsidRPr="00B62385" w:rsidRDefault="00B62385" w:rsidP="00B62385">
      <w:pPr>
        <w:pStyle w:val="ListParagraph"/>
        <w:tabs>
          <w:tab w:val="left" w:pos="720"/>
          <w:tab w:val="left" w:pos="2520"/>
          <w:tab w:val="left" w:pos="6480"/>
        </w:tabs>
        <w:spacing w:after="120"/>
        <w:rPr>
          <w:rFonts w:eastAsia="Calibri" w:cs="Arial"/>
          <w:szCs w:val="24"/>
        </w:rPr>
      </w:pPr>
    </w:p>
    <w:p w:rsidR="0058419C" w:rsidRDefault="0058419C" w:rsidP="0058419C">
      <w:pPr>
        <w:tabs>
          <w:tab w:val="left" w:pos="720"/>
          <w:tab w:val="left" w:pos="2520"/>
          <w:tab w:val="left" w:pos="6480"/>
        </w:tabs>
        <w:spacing w:after="120"/>
        <w:rPr>
          <w:rFonts w:eastAsia="Calibri" w:cs="Arial"/>
          <w:b/>
          <w:szCs w:val="24"/>
        </w:rPr>
      </w:pPr>
      <w:r w:rsidRPr="0058419C">
        <w:rPr>
          <w:rFonts w:eastAsia="Calibri" w:cs="Arial"/>
          <w:b/>
          <w:szCs w:val="24"/>
        </w:rPr>
        <w:t>Legal opinion</w:t>
      </w:r>
    </w:p>
    <w:p w:rsidR="00B62385" w:rsidRPr="0055045C" w:rsidRDefault="0058419C" w:rsidP="0072371B">
      <w:pPr>
        <w:pStyle w:val="ListParagraph"/>
        <w:numPr>
          <w:ilvl w:val="0"/>
          <w:numId w:val="61"/>
        </w:numPr>
        <w:tabs>
          <w:tab w:val="left" w:pos="426"/>
          <w:tab w:val="left" w:pos="2520"/>
          <w:tab w:val="left" w:pos="6480"/>
        </w:tabs>
        <w:spacing w:after="120"/>
        <w:ind w:left="426" w:hanging="426"/>
        <w:rPr>
          <w:rFonts w:eastAsia="Calibri" w:cs="Arial"/>
          <w:szCs w:val="24"/>
        </w:rPr>
      </w:pPr>
      <w:r w:rsidRPr="00B62385">
        <w:rPr>
          <w:rFonts w:eastAsia="Calibri" w:cs="Arial"/>
          <w:szCs w:val="24"/>
        </w:rPr>
        <w:t xml:space="preserve">When the final draft </w:t>
      </w:r>
      <w:r w:rsidR="00197A66">
        <w:rPr>
          <w:rFonts w:eastAsia="Calibri" w:cs="Arial"/>
          <w:szCs w:val="24"/>
        </w:rPr>
        <w:t>i</w:t>
      </w:r>
      <w:r w:rsidRPr="00B62385">
        <w:rPr>
          <w:rFonts w:eastAsia="Calibri" w:cs="Arial"/>
          <w:szCs w:val="24"/>
        </w:rPr>
        <w:t xml:space="preserve">ndependent </w:t>
      </w:r>
      <w:r w:rsidR="00197A66">
        <w:rPr>
          <w:rFonts w:eastAsia="Calibri" w:cs="Arial"/>
          <w:szCs w:val="24"/>
        </w:rPr>
        <w:t>i</w:t>
      </w:r>
      <w:r w:rsidR="00197A66" w:rsidRPr="00B62385">
        <w:rPr>
          <w:rFonts w:eastAsia="Calibri" w:cs="Arial"/>
          <w:szCs w:val="24"/>
        </w:rPr>
        <w:t xml:space="preserve">nvestigation </w:t>
      </w:r>
      <w:r w:rsidRPr="00B62385">
        <w:rPr>
          <w:rFonts w:eastAsia="Calibri" w:cs="Arial"/>
          <w:szCs w:val="24"/>
        </w:rPr>
        <w:t>report is received by the Regional Investigation Team, it will be sent for legal review (to examine compliance with the law and to determine whether it is susceptible to legal challenge).  The review will need to consider a number of issues, including</w:t>
      </w:r>
      <w:r w:rsidR="00770B1B">
        <w:rPr>
          <w:rFonts w:eastAsia="Calibri" w:cs="Arial"/>
          <w:szCs w:val="24"/>
        </w:rPr>
        <w:t>:</w:t>
      </w:r>
    </w:p>
    <w:p w:rsidR="0058419C" w:rsidRPr="0058419C" w:rsidRDefault="00770B1B" w:rsidP="0072371B">
      <w:pPr>
        <w:pStyle w:val="ListParagraph"/>
        <w:numPr>
          <w:ilvl w:val="0"/>
          <w:numId w:val="63"/>
        </w:numPr>
        <w:tabs>
          <w:tab w:val="left" w:pos="993"/>
          <w:tab w:val="left" w:pos="2520"/>
          <w:tab w:val="left" w:pos="6480"/>
        </w:tabs>
        <w:ind w:left="993" w:hanging="357"/>
        <w:contextualSpacing w:val="0"/>
        <w:rPr>
          <w:rFonts w:cs="Arial"/>
          <w:szCs w:val="24"/>
        </w:rPr>
      </w:pPr>
      <w:r>
        <w:rPr>
          <w:rFonts w:cs="Arial"/>
          <w:szCs w:val="24"/>
        </w:rPr>
        <w:t>W</w:t>
      </w:r>
      <w:r w:rsidR="0055045C">
        <w:rPr>
          <w:rFonts w:cs="Arial"/>
          <w:szCs w:val="24"/>
        </w:rPr>
        <w:t>hether</w:t>
      </w:r>
      <w:r w:rsidR="0055045C" w:rsidRPr="0058419C">
        <w:rPr>
          <w:rFonts w:cs="Arial"/>
          <w:szCs w:val="24"/>
        </w:rPr>
        <w:t xml:space="preserve"> </w:t>
      </w:r>
      <w:r w:rsidR="0058419C" w:rsidRPr="0058419C">
        <w:rPr>
          <w:rFonts w:cs="Arial"/>
          <w:szCs w:val="24"/>
        </w:rPr>
        <w:t>the terms of reference</w:t>
      </w:r>
      <w:r w:rsidR="00254815">
        <w:rPr>
          <w:rFonts w:cs="Arial"/>
          <w:szCs w:val="24"/>
        </w:rPr>
        <w:t xml:space="preserve"> </w:t>
      </w:r>
      <w:r w:rsidR="0058419C" w:rsidRPr="0058419C">
        <w:rPr>
          <w:rFonts w:cs="Arial"/>
          <w:szCs w:val="24"/>
        </w:rPr>
        <w:t>have been met</w:t>
      </w:r>
      <w:r w:rsidR="0055045C">
        <w:rPr>
          <w:rFonts w:cs="Arial"/>
          <w:szCs w:val="24"/>
        </w:rPr>
        <w:t>;</w:t>
      </w:r>
    </w:p>
    <w:p w:rsidR="0058419C" w:rsidRPr="0058419C" w:rsidRDefault="00770B1B" w:rsidP="0072371B">
      <w:pPr>
        <w:pStyle w:val="ListParagraph"/>
        <w:numPr>
          <w:ilvl w:val="0"/>
          <w:numId w:val="63"/>
        </w:numPr>
        <w:tabs>
          <w:tab w:val="left" w:pos="993"/>
          <w:tab w:val="left" w:pos="2520"/>
          <w:tab w:val="left" w:pos="6480"/>
        </w:tabs>
        <w:ind w:left="993" w:hanging="357"/>
        <w:contextualSpacing w:val="0"/>
        <w:rPr>
          <w:rFonts w:cs="Arial"/>
          <w:szCs w:val="24"/>
        </w:rPr>
      </w:pPr>
      <w:r>
        <w:rPr>
          <w:rFonts w:cs="Arial"/>
          <w:szCs w:val="24"/>
        </w:rPr>
        <w:t>W</w:t>
      </w:r>
      <w:r w:rsidR="0055045C">
        <w:rPr>
          <w:rFonts w:cs="Arial"/>
          <w:szCs w:val="24"/>
        </w:rPr>
        <w:t xml:space="preserve">hether </w:t>
      </w:r>
      <w:r w:rsidR="0058419C" w:rsidRPr="0058419C">
        <w:rPr>
          <w:rFonts w:cs="Arial"/>
          <w:szCs w:val="24"/>
        </w:rPr>
        <w:t>conclusions are supported with evidence</w:t>
      </w:r>
      <w:r w:rsidR="0055045C">
        <w:rPr>
          <w:rFonts w:cs="Arial"/>
          <w:szCs w:val="24"/>
        </w:rPr>
        <w:t>;</w:t>
      </w:r>
    </w:p>
    <w:p w:rsidR="0058419C" w:rsidRPr="0058419C" w:rsidRDefault="00770B1B" w:rsidP="0072371B">
      <w:pPr>
        <w:pStyle w:val="ListParagraph"/>
        <w:numPr>
          <w:ilvl w:val="0"/>
          <w:numId w:val="63"/>
        </w:numPr>
        <w:tabs>
          <w:tab w:val="left" w:pos="993"/>
          <w:tab w:val="left" w:pos="2520"/>
          <w:tab w:val="left" w:pos="6480"/>
        </w:tabs>
        <w:ind w:left="993" w:hanging="357"/>
        <w:contextualSpacing w:val="0"/>
        <w:rPr>
          <w:rFonts w:cs="Arial"/>
          <w:szCs w:val="24"/>
        </w:rPr>
      </w:pPr>
      <w:r>
        <w:rPr>
          <w:rFonts w:cs="Arial"/>
          <w:szCs w:val="24"/>
        </w:rPr>
        <w:t>W</w:t>
      </w:r>
      <w:r w:rsidR="0055045C">
        <w:rPr>
          <w:rFonts w:cs="Arial"/>
          <w:szCs w:val="24"/>
        </w:rPr>
        <w:t xml:space="preserve">hether </w:t>
      </w:r>
      <w:r w:rsidR="001B610D">
        <w:rPr>
          <w:rFonts w:cs="Arial"/>
          <w:szCs w:val="24"/>
        </w:rPr>
        <w:t>the</w:t>
      </w:r>
      <w:r w:rsidR="0058419C" w:rsidRPr="0058419C">
        <w:rPr>
          <w:rFonts w:cs="Arial"/>
          <w:szCs w:val="24"/>
        </w:rPr>
        <w:t xml:space="preserve"> report is defamatory</w:t>
      </w:r>
      <w:r w:rsidR="0055045C">
        <w:rPr>
          <w:rFonts w:cs="Arial"/>
          <w:szCs w:val="24"/>
        </w:rPr>
        <w:t>; and</w:t>
      </w:r>
    </w:p>
    <w:p w:rsidR="0058419C" w:rsidRDefault="00770B1B" w:rsidP="0072371B">
      <w:pPr>
        <w:pStyle w:val="ListParagraph"/>
        <w:numPr>
          <w:ilvl w:val="0"/>
          <w:numId w:val="63"/>
        </w:numPr>
        <w:tabs>
          <w:tab w:val="left" w:pos="993"/>
          <w:tab w:val="left" w:pos="2520"/>
          <w:tab w:val="left" w:pos="6480"/>
        </w:tabs>
        <w:ind w:left="993" w:hanging="357"/>
        <w:contextualSpacing w:val="0"/>
        <w:rPr>
          <w:rFonts w:cs="Arial"/>
          <w:szCs w:val="24"/>
        </w:rPr>
      </w:pPr>
      <w:r>
        <w:rPr>
          <w:rFonts w:cs="Arial"/>
          <w:szCs w:val="24"/>
        </w:rPr>
        <w:t>W</w:t>
      </w:r>
      <w:r w:rsidR="0055045C">
        <w:rPr>
          <w:rFonts w:cs="Arial"/>
          <w:szCs w:val="24"/>
        </w:rPr>
        <w:t>hether</w:t>
      </w:r>
      <w:r w:rsidR="0055045C" w:rsidRPr="0058419C">
        <w:rPr>
          <w:rFonts w:cs="Arial"/>
          <w:szCs w:val="24"/>
        </w:rPr>
        <w:t xml:space="preserve"> </w:t>
      </w:r>
      <w:r w:rsidR="0058419C" w:rsidRPr="0058419C">
        <w:rPr>
          <w:rFonts w:cs="Arial"/>
          <w:szCs w:val="24"/>
        </w:rPr>
        <w:t>confidentiality and data protection protocols have been followed</w:t>
      </w:r>
      <w:r w:rsidR="0055045C">
        <w:rPr>
          <w:rFonts w:cs="Arial"/>
          <w:szCs w:val="24"/>
        </w:rPr>
        <w:t>.</w:t>
      </w:r>
    </w:p>
    <w:p w:rsidR="00385044" w:rsidRPr="0058419C" w:rsidRDefault="00385044" w:rsidP="00385044">
      <w:pPr>
        <w:pStyle w:val="ListParagraph"/>
        <w:tabs>
          <w:tab w:val="left" w:pos="1418"/>
          <w:tab w:val="left" w:pos="2520"/>
          <w:tab w:val="left" w:pos="6480"/>
        </w:tabs>
        <w:ind w:left="1434"/>
        <w:contextualSpacing w:val="0"/>
        <w:rPr>
          <w:rFonts w:cs="Arial"/>
          <w:szCs w:val="24"/>
        </w:rPr>
      </w:pPr>
    </w:p>
    <w:p w:rsidR="0058419C" w:rsidRPr="00B62385" w:rsidRDefault="0058419C" w:rsidP="0072371B">
      <w:pPr>
        <w:pStyle w:val="ListParagraph"/>
        <w:numPr>
          <w:ilvl w:val="0"/>
          <w:numId w:val="62"/>
        </w:numPr>
        <w:tabs>
          <w:tab w:val="left" w:pos="426"/>
          <w:tab w:val="left" w:pos="2520"/>
          <w:tab w:val="left" w:pos="6480"/>
        </w:tabs>
        <w:spacing w:after="120"/>
        <w:ind w:left="426" w:hanging="426"/>
        <w:rPr>
          <w:rFonts w:cs="Arial"/>
          <w:szCs w:val="24"/>
        </w:rPr>
      </w:pPr>
      <w:r w:rsidRPr="00B62385">
        <w:rPr>
          <w:rFonts w:cs="Arial"/>
          <w:szCs w:val="24"/>
        </w:rPr>
        <w:t>Following this process the review findings will be shared with the Independent Investigators to amend their report as necessary.</w:t>
      </w:r>
    </w:p>
    <w:p w:rsidR="0058419C" w:rsidRDefault="001B610D" w:rsidP="0072371B">
      <w:pPr>
        <w:pStyle w:val="ListParagraph"/>
        <w:numPr>
          <w:ilvl w:val="0"/>
          <w:numId w:val="62"/>
        </w:numPr>
        <w:tabs>
          <w:tab w:val="left" w:pos="426"/>
          <w:tab w:val="left" w:pos="2520"/>
          <w:tab w:val="left" w:pos="6480"/>
        </w:tabs>
        <w:spacing w:after="120"/>
        <w:ind w:left="426" w:hanging="426"/>
        <w:rPr>
          <w:rFonts w:cs="Arial"/>
          <w:szCs w:val="24"/>
        </w:rPr>
      </w:pPr>
      <w:r>
        <w:rPr>
          <w:rFonts w:cs="Arial"/>
          <w:szCs w:val="24"/>
        </w:rPr>
        <w:t>The final report will</w:t>
      </w:r>
      <w:r w:rsidR="0058419C" w:rsidRPr="00B62385">
        <w:rPr>
          <w:rFonts w:cs="Arial"/>
          <w:szCs w:val="24"/>
        </w:rPr>
        <w:t xml:space="preserve"> then</w:t>
      </w:r>
      <w:r>
        <w:rPr>
          <w:rFonts w:cs="Arial"/>
          <w:szCs w:val="24"/>
        </w:rPr>
        <w:t xml:space="preserve"> be</w:t>
      </w:r>
      <w:r w:rsidR="0058419C" w:rsidRPr="00B62385">
        <w:rPr>
          <w:rFonts w:cs="Arial"/>
          <w:szCs w:val="24"/>
        </w:rPr>
        <w:t xml:space="preserve"> submitted to the IIRG for acceptance on behalf of NHS England</w:t>
      </w:r>
      <w:r>
        <w:rPr>
          <w:rFonts w:cs="Arial"/>
          <w:szCs w:val="24"/>
        </w:rPr>
        <w:t>. NB: any issues/concerns must be discussed and where further action is required the investigator</w:t>
      </w:r>
      <w:r w:rsidR="00DC73C1">
        <w:rPr>
          <w:rFonts w:cs="Arial"/>
          <w:szCs w:val="24"/>
        </w:rPr>
        <w:t>/investigating team</w:t>
      </w:r>
      <w:r>
        <w:rPr>
          <w:rFonts w:cs="Arial"/>
          <w:szCs w:val="24"/>
        </w:rPr>
        <w:t xml:space="preserve"> must be informed. </w:t>
      </w:r>
    </w:p>
    <w:p w:rsidR="00B62385" w:rsidRPr="00B62385" w:rsidRDefault="00B62385" w:rsidP="00B62385">
      <w:pPr>
        <w:pStyle w:val="ListParagraph"/>
        <w:tabs>
          <w:tab w:val="left" w:pos="720"/>
          <w:tab w:val="left" w:pos="2520"/>
          <w:tab w:val="left" w:pos="6480"/>
        </w:tabs>
        <w:spacing w:after="120"/>
        <w:rPr>
          <w:rFonts w:cs="Arial"/>
          <w:szCs w:val="24"/>
        </w:rPr>
      </w:pPr>
    </w:p>
    <w:p w:rsidR="0058419C" w:rsidRDefault="0058419C" w:rsidP="0058419C">
      <w:pPr>
        <w:tabs>
          <w:tab w:val="left" w:pos="720"/>
          <w:tab w:val="left" w:pos="2520"/>
          <w:tab w:val="left" w:pos="6480"/>
        </w:tabs>
        <w:spacing w:after="120"/>
        <w:rPr>
          <w:rFonts w:eastAsia="Calibri" w:cs="Arial"/>
          <w:b/>
          <w:szCs w:val="24"/>
        </w:rPr>
      </w:pPr>
      <w:r w:rsidRPr="0058419C">
        <w:rPr>
          <w:rFonts w:eastAsia="Calibri" w:cs="Arial"/>
          <w:b/>
          <w:szCs w:val="24"/>
        </w:rPr>
        <w:t>Pre-publication</w:t>
      </w:r>
    </w:p>
    <w:p w:rsidR="0058419C" w:rsidRPr="00B62385" w:rsidRDefault="0058419C" w:rsidP="0072371B">
      <w:pPr>
        <w:pStyle w:val="ListParagraph"/>
        <w:numPr>
          <w:ilvl w:val="0"/>
          <w:numId w:val="64"/>
        </w:numPr>
        <w:tabs>
          <w:tab w:val="left" w:pos="426"/>
          <w:tab w:val="left" w:pos="2520"/>
          <w:tab w:val="left" w:pos="6480"/>
        </w:tabs>
        <w:spacing w:after="120"/>
        <w:ind w:left="426" w:hanging="426"/>
        <w:rPr>
          <w:rFonts w:eastAsia="Calibri" w:cs="Arial"/>
          <w:szCs w:val="24"/>
        </w:rPr>
      </w:pPr>
      <w:r w:rsidRPr="00B62385">
        <w:rPr>
          <w:rFonts w:eastAsia="Calibri" w:cs="Arial"/>
          <w:szCs w:val="24"/>
        </w:rPr>
        <w:t>The Regional Investigations Team will arrange a pre-publication meeting with stakeholders to ensure that, prior to the report</w:t>
      </w:r>
      <w:r w:rsidR="0055045C">
        <w:rPr>
          <w:rFonts w:eastAsia="Calibri" w:cs="Arial"/>
          <w:szCs w:val="24"/>
        </w:rPr>
        <w:t>’</w:t>
      </w:r>
      <w:r w:rsidRPr="00B62385">
        <w:rPr>
          <w:rFonts w:eastAsia="Calibri" w:cs="Arial"/>
          <w:szCs w:val="24"/>
        </w:rPr>
        <w:t>s publication</w:t>
      </w:r>
      <w:r w:rsidR="0055045C">
        <w:rPr>
          <w:rFonts w:eastAsia="Calibri" w:cs="Arial"/>
          <w:szCs w:val="24"/>
        </w:rPr>
        <w:t>;</w:t>
      </w:r>
      <w:r w:rsidRPr="00B62385">
        <w:rPr>
          <w:rFonts w:eastAsia="Calibri" w:cs="Arial"/>
          <w:szCs w:val="24"/>
        </w:rPr>
        <w:t xml:space="preserve"> </w:t>
      </w:r>
    </w:p>
    <w:p w:rsidR="0058419C" w:rsidRPr="0058419C" w:rsidRDefault="0055045C" w:rsidP="0072371B">
      <w:pPr>
        <w:numPr>
          <w:ilvl w:val="0"/>
          <w:numId w:val="65"/>
        </w:numPr>
        <w:tabs>
          <w:tab w:val="left" w:pos="1134"/>
          <w:tab w:val="left" w:pos="6480"/>
        </w:tabs>
        <w:ind w:left="993" w:hanging="357"/>
        <w:rPr>
          <w:rFonts w:eastAsia="Calibri" w:cs="Arial"/>
          <w:szCs w:val="24"/>
        </w:rPr>
      </w:pPr>
      <w:r>
        <w:rPr>
          <w:rFonts w:eastAsia="Calibri" w:cs="Arial"/>
          <w:szCs w:val="24"/>
        </w:rPr>
        <w:t>l</w:t>
      </w:r>
      <w:r w:rsidRPr="0058419C">
        <w:rPr>
          <w:rFonts w:eastAsia="Calibri" w:cs="Arial"/>
          <w:szCs w:val="24"/>
        </w:rPr>
        <w:t xml:space="preserve">egal </w:t>
      </w:r>
      <w:r w:rsidR="0058419C" w:rsidRPr="0058419C">
        <w:rPr>
          <w:rFonts w:eastAsia="Calibri" w:cs="Arial"/>
          <w:szCs w:val="24"/>
        </w:rPr>
        <w:t>issues have been addressed</w:t>
      </w:r>
      <w:r>
        <w:rPr>
          <w:rFonts w:eastAsia="Calibri" w:cs="Arial"/>
          <w:szCs w:val="24"/>
        </w:rPr>
        <w:t>;</w:t>
      </w:r>
    </w:p>
    <w:p w:rsidR="0058419C" w:rsidRPr="0058419C" w:rsidRDefault="0055045C" w:rsidP="0072371B">
      <w:pPr>
        <w:numPr>
          <w:ilvl w:val="0"/>
          <w:numId w:val="65"/>
        </w:numPr>
        <w:tabs>
          <w:tab w:val="left" w:pos="1134"/>
          <w:tab w:val="left" w:pos="6480"/>
        </w:tabs>
        <w:ind w:left="993" w:hanging="357"/>
        <w:rPr>
          <w:rFonts w:eastAsia="Calibri" w:cs="Arial"/>
          <w:szCs w:val="24"/>
        </w:rPr>
      </w:pPr>
      <w:r>
        <w:rPr>
          <w:rFonts w:eastAsia="Calibri" w:cs="Arial"/>
          <w:szCs w:val="24"/>
        </w:rPr>
        <w:t>r</w:t>
      </w:r>
      <w:r w:rsidRPr="0058419C">
        <w:rPr>
          <w:rFonts w:eastAsia="Calibri" w:cs="Arial"/>
          <w:szCs w:val="24"/>
        </w:rPr>
        <w:t xml:space="preserve">ecommendations </w:t>
      </w:r>
      <w:r w:rsidR="0058419C" w:rsidRPr="0058419C">
        <w:rPr>
          <w:rFonts w:eastAsia="Calibri" w:cs="Arial"/>
          <w:szCs w:val="24"/>
        </w:rPr>
        <w:t>have been considered by all parties, an action plan developed</w:t>
      </w:r>
      <w:r w:rsidR="00DC73C1">
        <w:rPr>
          <w:rFonts w:eastAsia="Calibri" w:cs="Arial"/>
          <w:szCs w:val="24"/>
        </w:rPr>
        <w:t xml:space="preserve"> and</w:t>
      </w:r>
      <w:r w:rsidR="0058419C" w:rsidRPr="0058419C">
        <w:rPr>
          <w:rFonts w:eastAsia="Calibri" w:cs="Arial"/>
          <w:szCs w:val="24"/>
        </w:rPr>
        <w:t>, stakeholders have had the opportunity to comment on it</w:t>
      </w:r>
      <w:r>
        <w:rPr>
          <w:rFonts w:eastAsia="Calibri" w:cs="Arial"/>
          <w:szCs w:val="24"/>
        </w:rPr>
        <w:t>;</w:t>
      </w:r>
    </w:p>
    <w:p w:rsidR="0058419C" w:rsidRPr="0058419C" w:rsidRDefault="0055045C" w:rsidP="0072371B">
      <w:pPr>
        <w:numPr>
          <w:ilvl w:val="0"/>
          <w:numId w:val="65"/>
        </w:numPr>
        <w:tabs>
          <w:tab w:val="left" w:pos="1134"/>
          <w:tab w:val="left" w:pos="6480"/>
        </w:tabs>
        <w:ind w:left="993" w:hanging="357"/>
        <w:rPr>
          <w:rFonts w:eastAsia="Calibri" w:cs="Arial"/>
          <w:szCs w:val="24"/>
        </w:rPr>
      </w:pPr>
      <w:r>
        <w:rPr>
          <w:rFonts w:eastAsia="Calibri" w:cs="Arial"/>
          <w:szCs w:val="24"/>
        </w:rPr>
        <w:t>victim’s</w:t>
      </w:r>
      <w:r w:rsidR="00DC73C1">
        <w:rPr>
          <w:rFonts w:eastAsia="Calibri" w:cs="Arial"/>
          <w:szCs w:val="24"/>
        </w:rPr>
        <w:t>,</w:t>
      </w:r>
      <w:r w:rsidR="008104AF">
        <w:rPr>
          <w:rFonts w:eastAsia="Calibri" w:cs="Arial"/>
          <w:szCs w:val="24"/>
        </w:rPr>
        <w:t xml:space="preserve"> </w:t>
      </w:r>
      <w:r w:rsidR="0058419C" w:rsidRPr="0058419C">
        <w:rPr>
          <w:rFonts w:eastAsia="Calibri" w:cs="Arial"/>
          <w:szCs w:val="24"/>
        </w:rPr>
        <w:t>families</w:t>
      </w:r>
      <w:r w:rsidR="00DC73C1">
        <w:rPr>
          <w:rFonts w:eastAsia="Calibri" w:cs="Arial"/>
          <w:szCs w:val="24"/>
        </w:rPr>
        <w:t>,</w:t>
      </w:r>
      <w:r w:rsidR="0058419C" w:rsidRPr="0058419C">
        <w:rPr>
          <w:rFonts w:eastAsia="Calibri" w:cs="Arial"/>
          <w:szCs w:val="24"/>
        </w:rPr>
        <w:t xml:space="preserve"> perpetrators</w:t>
      </w:r>
      <w:r w:rsidR="00DC73C1">
        <w:rPr>
          <w:rFonts w:eastAsia="Calibri" w:cs="Arial"/>
          <w:szCs w:val="24"/>
        </w:rPr>
        <w:t xml:space="preserve"> and their families</w:t>
      </w:r>
      <w:r w:rsidR="0058419C" w:rsidRPr="0058419C">
        <w:rPr>
          <w:rFonts w:eastAsia="Calibri" w:cs="Arial"/>
          <w:szCs w:val="24"/>
        </w:rPr>
        <w:t xml:space="preserve"> have had an opportunity receive a hard copy of the report in good time to review and understand its findings and recommendations</w:t>
      </w:r>
      <w:r>
        <w:rPr>
          <w:rFonts w:eastAsia="Calibri" w:cs="Arial"/>
          <w:szCs w:val="24"/>
        </w:rPr>
        <w:t>;</w:t>
      </w:r>
    </w:p>
    <w:p w:rsidR="0058419C" w:rsidRPr="0058419C" w:rsidRDefault="0055045C" w:rsidP="0072371B">
      <w:pPr>
        <w:numPr>
          <w:ilvl w:val="0"/>
          <w:numId w:val="65"/>
        </w:numPr>
        <w:tabs>
          <w:tab w:val="left" w:pos="1134"/>
          <w:tab w:val="left" w:pos="6480"/>
        </w:tabs>
        <w:ind w:left="993" w:hanging="357"/>
        <w:rPr>
          <w:rFonts w:eastAsia="Calibri" w:cs="Arial"/>
          <w:szCs w:val="24"/>
        </w:rPr>
      </w:pPr>
      <w:r>
        <w:rPr>
          <w:rFonts w:eastAsia="Calibri" w:cs="Arial"/>
          <w:szCs w:val="24"/>
        </w:rPr>
        <w:t>i</w:t>
      </w:r>
      <w:r w:rsidRPr="0058419C">
        <w:rPr>
          <w:rFonts w:eastAsia="Calibri" w:cs="Arial"/>
          <w:szCs w:val="24"/>
        </w:rPr>
        <w:t xml:space="preserve">ndividuals </w:t>
      </w:r>
      <w:r w:rsidR="0058419C" w:rsidRPr="0058419C">
        <w:rPr>
          <w:rFonts w:eastAsia="Calibri" w:cs="Arial"/>
          <w:szCs w:val="24"/>
        </w:rPr>
        <w:t>cited in the report have had the opportunity to comment</w:t>
      </w:r>
      <w:r>
        <w:rPr>
          <w:rFonts w:eastAsia="Calibri" w:cs="Arial"/>
          <w:szCs w:val="24"/>
        </w:rPr>
        <w:t>;</w:t>
      </w:r>
    </w:p>
    <w:p w:rsidR="0055045C" w:rsidRPr="0058419C" w:rsidRDefault="0055045C" w:rsidP="0072371B">
      <w:pPr>
        <w:numPr>
          <w:ilvl w:val="0"/>
          <w:numId w:val="65"/>
        </w:numPr>
        <w:tabs>
          <w:tab w:val="left" w:pos="1134"/>
          <w:tab w:val="left" w:pos="6480"/>
        </w:tabs>
        <w:ind w:left="993" w:hanging="357"/>
        <w:rPr>
          <w:rFonts w:eastAsia="Calibri" w:cs="Arial"/>
          <w:szCs w:val="24"/>
        </w:rPr>
      </w:pPr>
      <w:r>
        <w:rPr>
          <w:rFonts w:eastAsia="Calibri" w:cs="Arial"/>
          <w:szCs w:val="24"/>
        </w:rPr>
        <w:t xml:space="preserve">a </w:t>
      </w:r>
      <w:r w:rsidR="00DC73C1">
        <w:rPr>
          <w:rFonts w:eastAsia="Calibri" w:cs="Arial"/>
          <w:szCs w:val="24"/>
        </w:rPr>
        <w:t>communications,</w:t>
      </w:r>
      <w:r w:rsidR="00871323">
        <w:rPr>
          <w:rFonts w:eastAsia="Calibri" w:cs="Arial"/>
          <w:szCs w:val="24"/>
        </w:rPr>
        <w:t xml:space="preserve"> </w:t>
      </w:r>
      <w:r w:rsidR="0058419C" w:rsidRPr="0058419C">
        <w:rPr>
          <w:rFonts w:eastAsia="Calibri" w:cs="Arial"/>
          <w:szCs w:val="24"/>
        </w:rPr>
        <w:t>media handling plan and publication date</w:t>
      </w:r>
      <w:r w:rsidR="00DC73C1">
        <w:rPr>
          <w:rFonts w:eastAsia="Calibri" w:cs="Arial"/>
          <w:szCs w:val="24"/>
        </w:rPr>
        <w:t xml:space="preserve"> have been agreed</w:t>
      </w:r>
      <w:r>
        <w:rPr>
          <w:rFonts w:eastAsia="Calibri" w:cs="Arial"/>
          <w:szCs w:val="24"/>
        </w:rPr>
        <w:t>; and</w:t>
      </w:r>
    </w:p>
    <w:p w:rsidR="00F740FD" w:rsidRPr="0055045C" w:rsidRDefault="0055045C" w:rsidP="0072371B">
      <w:pPr>
        <w:numPr>
          <w:ilvl w:val="0"/>
          <w:numId w:val="65"/>
        </w:numPr>
        <w:tabs>
          <w:tab w:val="left" w:pos="1134"/>
          <w:tab w:val="left" w:pos="6480"/>
        </w:tabs>
        <w:ind w:left="993" w:hanging="357"/>
        <w:rPr>
          <w:rFonts w:eastAsia="Calibri" w:cs="Arial"/>
          <w:szCs w:val="24"/>
        </w:rPr>
      </w:pPr>
      <w:r w:rsidRPr="0055045C">
        <w:rPr>
          <w:rFonts w:eastAsia="Calibri" w:cs="Arial"/>
          <w:szCs w:val="24"/>
        </w:rPr>
        <w:t xml:space="preserve">a </w:t>
      </w:r>
      <w:r w:rsidR="0058419C" w:rsidRPr="0055045C">
        <w:rPr>
          <w:rFonts w:eastAsia="Calibri" w:cs="Arial"/>
          <w:szCs w:val="24"/>
        </w:rPr>
        <w:t xml:space="preserve">date to </w:t>
      </w:r>
      <w:r w:rsidR="007C75A5" w:rsidRPr="0055045C">
        <w:rPr>
          <w:rFonts w:eastAsia="Calibri" w:cs="Arial"/>
          <w:szCs w:val="24"/>
        </w:rPr>
        <w:t>present for sign off and closure</w:t>
      </w:r>
      <w:r w:rsidR="00DC73C1" w:rsidRPr="0055045C">
        <w:rPr>
          <w:rFonts w:eastAsia="Calibri" w:cs="Arial"/>
          <w:szCs w:val="24"/>
        </w:rPr>
        <w:t xml:space="preserve"> have been agreed</w:t>
      </w:r>
      <w:r w:rsidRPr="0055045C">
        <w:rPr>
          <w:rFonts w:eastAsia="Calibri" w:cs="Arial"/>
          <w:szCs w:val="24"/>
        </w:rPr>
        <w:t>.</w:t>
      </w:r>
    </w:p>
    <w:p w:rsidR="00385044" w:rsidRDefault="00385044" w:rsidP="00F740FD">
      <w:pPr>
        <w:tabs>
          <w:tab w:val="left" w:pos="720"/>
          <w:tab w:val="left" w:pos="1134"/>
          <w:tab w:val="left" w:pos="2520"/>
          <w:tab w:val="left" w:pos="6480"/>
        </w:tabs>
        <w:spacing w:after="120" w:line="276" w:lineRule="auto"/>
        <w:rPr>
          <w:rFonts w:eastAsia="Calibri" w:cs="Arial"/>
          <w:b/>
          <w:szCs w:val="24"/>
        </w:rPr>
      </w:pPr>
    </w:p>
    <w:p w:rsidR="0058419C" w:rsidRPr="007C75A5" w:rsidRDefault="007C75A5" w:rsidP="00F740FD">
      <w:pPr>
        <w:tabs>
          <w:tab w:val="left" w:pos="720"/>
          <w:tab w:val="left" w:pos="1134"/>
          <w:tab w:val="left" w:pos="2520"/>
          <w:tab w:val="left" w:pos="6480"/>
        </w:tabs>
        <w:spacing w:after="120" w:line="276" w:lineRule="auto"/>
        <w:rPr>
          <w:rFonts w:eastAsia="Calibri" w:cs="Arial"/>
          <w:szCs w:val="24"/>
        </w:rPr>
      </w:pPr>
      <w:r>
        <w:rPr>
          <w:rFonts w:eastAsia="Calibri" w:cs="Arial"/>
          <w:b/>
          <w:szCs w:val="24"/>
        </w:rPr>
        <w:t>Sign off and closure</w:t>
      </w:r>
      <w:r w:rsidR="0058419C" w:rsidRPr="007C75A5">
        <w:rPr>
          <w:rFonts w:eastAsia="Calibri" w:cs="Arial"/>
          <w:szCs w:val="24"/>
        </w:rPr>
        <w:tab/>
      </w:r>
    </w:p>
    <w:p w:rsidR="00B62385" w:rsidRPr="0055045C" w:rsidRDefault="001C1B0F" w:rsidP="0072371B">
      <w:pPr>
        <w:pStyle w:val="ListParagraph"/>
        <w:numPr>
          <w:ilvl w:val="0"/>
          <w:numId w:val="66"/>
        </w:numPr>
        <w:tabs>
          <w:tab w:val="left" w:pos="426"/>
          <w:tab w:val="left" w:pos="2520"/>
          <w:tab w:val="left" w:pos="6480"/>
        </w:tabs>
        <w:spacing w:after="120"/>
        <w:ind w:left="426" w:hanging="426"/>
        <w:rPr>
          <w:rFonts w:eastAsia="Calibri" w:cs="Arial"/>
          <w:szCs w:val="24"/>
        </w:rPr>
      </w:pPr>
      <w:r>
        <w:rPr>
          <w:rFonts w:eastAsia="Calibri" w:cs="Arial"/>
          <w:szCs w:val="24"/>
        </w:rPr>
        <w:t>A</w:t>
      </w:r>
      <w:r w:rsidR="007C75A5">
        <w:rPr>
          <w:rFonts w:eastAsia="Calibri" w:cs="Arial"/>
          <w:szCs w:val="24"/>
        </w:rPr>
        <w:t xml:space="preserve"> meeting with</w:t>
      </w:r>
      <w:r>
        <w:rPr>
          <w:rFonts w:eastAsia="Calibri" w:cs="Arial"/>
          <w:szCs w:val="24"/>
        </w:rPr>
        <w:t xml:space="preserve"> relevant commissioners,</w:t>
      </w:r>
      <w:r w:rsidR="007C75A5">
        <w:rPr>
          <w:rFonts w:eastAsia="Calibri" w:cs="Arial"/>
          <w:szCs w:val="24"/>
        </w:rPr>
        <w:t xml:space="preserve"> </w:t>
      </w:r>
      <w:r w:rsidR="0058419C" w:rsidRPr="00B62385">
        <w:rPr>
          <w:rFonts w:eastAsia="Calibri" w:cs="Arial"/>
          <w:szCs w:val="24"/>
        </w:rPr>
        <w:t xml:space="preserve">NHS England Regional and </w:t>
      </w:r>
      <w:r w:rsidR="000A74CD">
        <w:rPr>
          <w:rFonts w:eastAsia="Calibri" w:cs="Arial"/>
          <w:szCs w:val="24"/>
        </w:rPr>
        <w:t>Sub-region</w:t>
      </w:r>
      <w:r w:rsidR="007C75A5">
        <w:rPr>
          <w:rFonts w:eastAsia="Calibri" w:cs="Arial"/>
          <w:szCs w:val="24"/>
        </w:rPr>
        <w:t>al</w:t>
      </w:r>
      <w:r>
        <w:rPr>
          <w:rFonts w:eastAsia="Calibri" w:cs="Arial"/>
          <w:szCs w:val="24"/>
        </w:rPr>
        <w:t xml:space="preserve"> leads must be convened. T</w:t>
      </w:r>
      <w:r w:rsidR="001F7238">
        <w:rPr>
          <w:rFonts w:eastAsia="Calibri" w:cs="Arial"/>
          <w:szCs w:val="24"/>
        </w:rPr>
        <w:t xml:space="preserve">he </w:t>
      </w:r>
      <w:r w:rsidR="008104AF">
        <w:rPr>
          <w:rFonts w:eastAsia="Calibri" w:cs="Arial"/>
          <w:szCs w:val="24"/>
        </w:rPr>
        <w:t>victim’s</w:t>
      </w:r>
      <w:r w:rsidR="0058419C" w:rsidRPr="00B62385">
        <w:rPr>
          <w:rFonts w:eastAsia="Calibri" w:cs="Arial"/>
          <w:szCs w:val="24"/>
        </w:rPr>
        <w:t xml:space="preserve"> famil</w:t>
      </w:r>
      <w:r w:rsidR="008104AF">
        <w:rPr>
          <w:rFonts w:eastAsia="Calibri" w:cs="Arial"/>
          <w:szCs w:val="24"/>
        </w:rPr>
        <w:t>y</w:t>
      </w:r>
      <w:r w:rsidR="0058419C" w:rsidRPr="00B62385">
        <w:rPr>
          <w:rFonts w:eastAsia="Calibri" w:cs="Arial"/>
          <w:szCs w:val="24"/>
        </w:rPr>
        <w:t xml:space="preserve"> or their advocates should be invited to attend.</w:t>
      </w:r>
      <w:r w:rsidR="00C85D17">
        <w:rPr>
          <w:rFonts w:eastAsia="Calibri" w:cs="Arial"/>
          <w:szCs w:val="24"/>
        </w:rPr>
        <w:t xml:space="preserve"> The perpetrator and the family and/or their representatives should also have an </w:t>
      </w:r>
      <w:r w:rsidR="002F37ED">
        <w:rPr>
          <w:rFonts w:eastAsia="Calibri" w:cs="Arial"/>
          <w:szCs w:val="24"/>
        </w:rPr>
        <w:t>opportunity to discuss the sign-</w:t>
      </w:r>
      <w:r w:rsidR="00C85D17">
        <w:rPr>
          <w:rFonts w:eastAsia="Calibri" w:cs="Arial"/>
          <w:szCs w:val="24"/>
        </w:rPr>
        <w:t xml:space="preserve">off and closure of investigation with relevant parties. </w:t>
      </w:r>
    </w:p>
    <w:p w:rsidR="007C75A5" w:rsidRPr="0055045C" w:rsidRDefault="0058419C" w:rsidP="0072371B">
      <w:pPr>
        <w:pStyle w:val="ListParagraph"/>
        <w:numPr>
          <w:ilvl w:val="0"/>
          <w:numId w:val="66"/>
        </w:numPr>
        <w:tabs>
          <w:tab w:val="left" w:pos="426"/>
          <w:tab w:val="left" w:pos="2520"/>
          <w:tab w:val="left" w:pos="6480"/>
        </w:tabs>
        <w:spacing w:after="120"/>
        <w:ind w:left="426" w:hanging="426"/>
        <w:rPr>
          <w:rFonts w:eastAsia="Calibri" w:cs="Arial"/>
          <w:szCs w:val="24"/>
        </w:rPr>
      </w:pPr>
      <w:r w:rsidRPr="00B62385">
        <w:rPr>
          <w:rFonts w:eastAsia="Calibri" w:cs="Arial"/>
          <w:szCs w:val="24"/>
        </w:rPr>
        <w:t>The commissioners should advise the provider</w:t>
      </w:r>
      <w:r w:rsidR="00346CD0">
        <w:rPr>
          <w:rFonts w:eastAsia="Calibri" w:cs="Arial"/>
          <w:szCs w:val="24"/>
        </w:rPr>
        <w:t>s</w:t>
      </w:r>
      <w:r w:rsidRPr="00B62385">
        <w:rPr>
          <w:rFonts w:eastAsia="Calibri" w:cs="Arial"/>
          <w:szCs w:val="24"/>
        </w:rPr>
        <w:t xml:space="preserve"> senior leadership team (</w:t>
      </w:r>
      <w:r w:rsidR="001C1B0F">
        <w:rPr>
          <w:rFonts w:eastAsia="Calibri" w:cs="Arial"/>
          <w:szCs w:val="24"/>
        </w:rPr>
        <w:t xml:space="preserve">i.e. </w:t>
      </w:r>
      <w:r w:rsidRPr="00B62385">
        <w:rPr>
          <w:rFonts w:eastAsia="Calibri" w:cs="Arial"/>
          <w:szCs w:val="24"/>
        </w:rPr>
        <w:t xml:space="preserve">Chief Executive, the Medical Director </w:t>
      </w:r>
      <w:r w:rsidR="001C1B0F">
        <w:rPr>
          <w:rFonts w:eastAsia="Calibri" w:cs="Arial"/>
          <w:szCs w:val="24"/>
        </w:rPr>
        <w:t>and/</w:t>
      </w:r>
      <w:r w:rsidRPr="00B62385">
        <w:rPr>
          <w:rFonts w:eastAsia="Calibri" w:cs="Arial"/>
          <w:szCs w:val="24"/>
        </w:rPr>
        <w:t>or Director of Nursing) that they will be required to attend to present their action plan for sign off.</w:t>
      </w:r>
    </w:p>
    <w:p w:rsidR="0058419C" w:rsidRPr="0055045C" w:rsidRDefault="007C75A5" w:rsidP="0072371B">
      <w:pPr>
        <w:pStyle w:val="ListParagraph"/>
        <w:numPr>
          <w:ilvl w:val="0"/>
          <w:numId w:val="66"/>
        </w:numPr>
        <w:tabs>
          <w:tab w:val="left" w:pos="426"/>
          <w:tab w:val="left" w:pos="2520"/>
          <w:tab w:val="left" w:pos="6480"/>
        </w:tabs>
        <w:spacing w:after="120"/>
        <w:ind w:left="426" w:hanging="426"/>
        <w:rPr>
          <w:rFonts w:eastAsia="Calibri" w:cs="Arial"/>
          <w:szCs w:val="24"/>
        </w:rPr>
      </w:pPr>
      <w:r>
        <w:rPr>
          <w:rFonts w:eastAsia="Calibri" w:cs="Arial"/>
          <w:szCs w:val="24"/>
        </w:rPr>
        <w:t>Sign off and closure should be agreed</w:t>
      </w:r>
      <w:r w:rsidR="00DC73C1">
        <w:rPr>
          <w:rFonts w:eastAsia="Calibri" w:cs="Arial"/>
          <w:szCs w:val="24"/>
        </w:rPr>
        <w:t>. Clearly any concerns/issues highlighted by any interes</w:t>
      </w:r>
      <w:r w:rsidR="00B61BE6">
        <w:rPr>
          <w:rFonts w:eastAsia="Calibri" w:cs="Arial"/>
          <w:szCs w:val="24"/>
        </w:rPr>
        <w:t>ted party must be considered by</w:t>
      </w:r>
      <w:r w:rsidR="00DC73C1">
        <w:rPr>
          <w:rFonts w:eastAsia="Calibri" w:cs="Arial"/>
          <w:szCs w:val="24"/>
        </w:rPr>
        <w:t xml:space="preserve"> those responsible for commissioning </w:t>
      </w:r>
      <w:r w:rsidR="00DC73C1">
        <w:rPr>
          <w:rFonts w:eastAsia="Calibri" w:cs="Arial"/>
          <w:szCs w:val="24"/>
        </w:rPr>
        <w:lastRenderedPageBreak/>
        <w:t>the investigation</w:t>
      </w:r>
      <w:r w:rsidR="00B61BE6">
        <w:rPr>
          <w:rFonts w:eastAsia="Calibri" w:cs="Arial"/>
          <w:szCs w:val="24"/>
        </w:rPr>
        <w:t xml:space="preserve"> (i.e. the regional investigation team). </w:t>
      </w:r>
      <w:r w:rsidR="00DC73C1">
        <w:rPr>
          <w:rFonts w:eastAsia="Calibri" w:cs="Arial"/>
          <w:szCs w:val="24"/>
        </w:rPr>
        <w:t xml:space="preserve"> </w:t>
      </w:r>
      <w:r w:rsidR="00B61BE6">
        <w:rPr>
          <w:rFonts w:eastAsia="Calibri" w:cs="Arial"/>
          <w:szCs w:val="24"/>
        </w:rPr>
        <w:t xml:space="preserve">The regional investigation team </w:t>
      </w:r>
      <w:r w:rsidR="00DC73C1">
        <w:rPr>
          <w:rFonts w:eastAsia="Calibri" w:cs="Arial"/>
          <w:szCs w:val="24"/>
        </w:rPr>
        <w:t xml:space="preserve">must seek to understand the issue, consider </w:t>
      </w:r>
      <w:r w:rsidR="00B61BE6">
        <w:rPr>
          <w:rFonts w:eastAsia="Calibri" w:cs="Arial"/>
          <w:szCs w:val="24"/>
        </w:rPr>
        <w:t xml:space="preserve">and appropriately </w:t>
      </w:r>
      <w:r w:rsidR="00DC73C1">
        <w:rPr>
          <w:rFonts w:eastAsia="Calibri" w:cs="Arial"/>
          <w:szCs w:val="24"/>
        </w:rPr>
        <w:t xml:space="preserve">agree what further action is </w:t>
      </w:r>
      <w:r w:rsidR="00B61BE6">
        <w:rPr>
          <w:rFonts w:eastAsia="Calibri" w:cs="Arial"/>
          <w:szCs w:val="24"/>
        </w:rPr>
        <w:t xml:space="preserve">required. </w:t>
      </w:r>
      <w:r w:rsidR="00DC73C1">
        <w:rPr>
          <w:rFonts w:eastAsia="Calibri" w:cs="Arial"/>
          <w:szCs w:val="24"/>
        </w:rPr>
        <w:t xml:space="preserve"> </w:t>
      </w:r>
    </w:p>
    <w:p w:rsidR="00B62385" w:rsidRPr="0055045C" w:rsidRDefault="0058419C" w:rsidP="0072371B">
      <w:pPr>
        <w:pStyle w:val="ListParagraph"/>
        <w:numPr>
          <w:ilvl w:val="0"/>
          <w:numId w:val="66"/>
        </w:numPr>
        <w:tabs>
          <w:tab w:val="left" w:pos="426"/>
          <w:tab w:val="left" w:pos="2520"/>
          <w:tab w:val="left" w:pos="6480"/>
        </w:tabs>
        <w:spacing w:after="120"/>
        <w:ind w:left="426" w:hanging="426"/>
        <w:rPr>
          <w:rFonts w:eastAsia="Calibri" w:cs="Arial"/>
          <w:szCs w:val="24"/>
        </w:rPr>
      </w:pPr>
      <w:r w:rsidRPr="00B62385">
        <w:rPr>
          <w:rFonts w:eastAsia="Calibri" w:cs="Arial"/>
          <w:szCs w:val="24"/>
        </w:rPr>
        <w:t xml:space="preserve">The commissioners will share the report with the </w:t>
      </w:r>
      <w:r w:rsidR="000A74CD">
        <w:rPr>
          <w:rFonts w:eastAsia="Calibri" w:cs="Arial"/>
          <w:szCs w:val="24"/>
        </w:rPr>
        <w:t xml:space="preserve">Sub-region </w:t>
      </w:r>
      <w:r w:rsidRPr="00B62385">
        <w:rPr>
          <w:rFonts w:eastAsia="Calibri" w:cs="Arial"/>
          <w:szCs w:val="24"/>
        </w:rPr>
        <w:t>Quality Surveillance Group</w:t>
      </w:r>
      <w:r w:rsidR="0055045C">
        <w:rPr>
          <w:rFonts w:eastAsia="Calibri" w:cs="Arial"/>
          <w:szCs w:val="24"/>
        </w:rPr>
        <w:t>.</w:t>
      </w:r>
    </w:p>
    <w:p w:rsidR="00BE15C7" w:rsidRDefault="0058419C" w:rsidP="0072371B">
      <w:pPr>
        <w:pStyle w:val="ListParagraph"/>
        <w:numPr>
          <w:ilvl w:val="0"/>
          <w:numId w:val="66"/>
        </w:numPr>
        <w:tabs>
          <w:tab w:val="left" w:pos="426"/>
          <w:tab w:val="left" w:pos="2520"/>
          <w:tab w:val="left" w:pos="6480"/>
        </w:tabs>
        <w:spacing w:after="120"/>
        <w:ind w:left="426" w:hanging="426"/>
        <w:rPr>
          <w:rFonts w:eastAsia="Calibri" w:cs="Arial"/>
          <w:szCs w:val="24"/>
        </w:rPr>
      </w:pPr>
      <w:r w:rsidRPr="008413C8">
        <w:rPr>
          <w:rFonts w:eastAsia="Calibri" w:cs="Arial"/>
          <w:szCs w:val="24"/>
        </w:rPr>
        <w:t>It is important to recognise that the closure of the investigation does not mark the end of the case. Implementing actions and improvement can take a considerable amount of time. Providers and commissioners must ensure there are robust processes for monitoring the implementation of long term actions (see part three, section 4.5-5 for further details)</w:t>
      </w:r>
      <w:r w:rsidR="0055045C">
        <w:rPr>
          <w:rFonts w:eastAsia="Calibri" w:cs="Arial"/>
          <w:szCs w:val="24"/>
        </w:rPr>
        <w:t>.</w:t>
      </w:r>
    </w:p>
    <w:p w:rsidR="00385044" w:rsidRPr="008413C8" w:rsidRDefault="00385044" w:rsidP="00385044">
      <w:pPr>
        <w:pStyle w:val="ListParagraph"/>
        <w:tabs>
          <w:tab w:val="left" w:pos="720"/>
          <w:tab w:val="left" w:pos="2520"/>
          <w:tab w:val="left" w:pos="6480"/>
        </w:tabs>
        <w:spacing w:after="120"/>
        <w:rPr>
          <w:rFonts w:eastAsia="Calibri" w:cs="Arial"/>
          <w:szCs w:val="24"/>
        </w:rPr>
      </w:pPr>
    </w:p>
    <w:p w:rsidR="00982855" w:rsidRPr="0058419C" w:rsidRDefault="0058419C" w:rsidP="0058419C">
      <w:pPr>
        <w:tabs>
          <w:tab w:val="left" w:pos="720"/>
          <w:tab w:val="left" w:pos="2520"/>
          <w:tab w:val="left" w:pos="6480"/>
        </w:tabs>
        <w:spacing w:after="120"/>
        <w:rPr>
          <w:rFonts w:eastAsia="Calibri" w:cs="Arial"/>
          <w:b/>
          <w:szCs w:val="24"/>
        </w:rPr>
      </w:pPr>
      <w:r w:rsidRPr="0058419C">
        <w:rPr>
          <w:rFonts w:eastAsia="Calibri" w:cs="Arial"/>
          <w:b/>
          <w:szCs w:val="24"/>
        </w:rPr>
        <w:t>Publication</w:t>
      </w:r>
    </w:p>
    <w:p w:rsidR="0058419C" w:rsidRPr="0058419C" w:rsidRDefault="0058419C" w:rsidP="0072371B">
      <w:pPr>
        <w:pStyle w:val="00-Normal-BA"/>
        <w:numPr>
          <w:ilvl w:val="0"/>
          <w:numId w:val="67"/>
        </w:numPr>
        <w:spacing w:line="276" w:lineRule="auto"/>
        <w:ind w:left="425" w:hanging="425"/>
        <w:jc w:val="left"/>
        <w:rPr>
          <w:rFonts w:cs="Arial"/>
          <w:sz w:val="24"/>
          <w:szCs w:val="24"/>
          <w:lang w:eastAsia="en-GB"/>
        </w:rPr>
      </w:pPr>
      <w:r w:rsidRPr="0058419C">
        <w:rPr>
          <w:rFonts w:cs="Arial"/>
          <w:sz w:val="24"/>
          <w:szCs w:val="24"/>
          <w:lang w:eastAsia="en-GB"/>
        </w:rPr>
        <w:t xml:space="preserve">Reports should be made public in the interests of learning and transparency.  </w:t>
      </w:r>
      <w:r w:rsidRPr="0058419C">
        <w:rPr>
          <w:rFonts w:eastAsia="Calibri" w:cs="Arial"/>
          <w:sz w:val="24"/>
          <w:szCs w:val="24"/>
          <w:lang w:eastAsia="ja-JP"/>
        </w:rPr>
        <w:t>NHS England will publish and share the independent</w:t>
      </w:r>
      <w:r w:rsidRPr="0058419C">
        <w:rPr>
          <w:rFonts w:eastAsia="Calibri" w:cs="Arial"/>
          <w:sz w:val="24"/>
          <w:szCs w:val="24"/>
        </w:rPr>
        <w:t xml:space="preserve"> investigation reports on its website. In order to encourage greater local accountability and ownership, independent reports will also be published by the relevant </w:t>
      </w:r>
      <w:r w:rsidR="007C75A5">
        <w:rPr>
          <w:rFonts w:eastAsia="Calibri" w:cs="Arial"/>
          <w:sz w:val="24"/>
          <w:szCs w:val="24"/>
        </w:rPr>
        <w:t>commissioners</w:t>
      </w:r>
      <w:r w:rsidR="007C75A5" w:rsidRPr="0058419C">
        <w:rPr>
          <w:rFonts w:eastAsia="Calibri" w:cs="Arial"/>
          <w:sz w:val="24"/>
          <w:szCs w:val="24"/>
        </w:rPr>
        <w:t xml:space="preserve"> </w:t>
      </w:r>
      <w:r w:rsidRPr="0058419C">
        <w:rPr>
          <w:rFonts w:eastAsia="Calibri" w:cs="Arial"/>
          <w:sz w:val="24"/>
          <w:szCs w:val="24"/>
        </w:rPr>
        <w:t xml:space="preserve">and the provider organisation. </w:t>
      </w:r>
    </w:p>
    <w:p w:rsidR="00B62385" w:rsidRPr="0055045C" w:rsidRDefault="0058419C" w:rsidP="0072371B">
      <w:pPr>
        <w:pStyle w:val="ListParagraph"/>
        <w:numPr>
          <w:ilvl w:val="0"/>
          <w:numId w:val="67"/>
        </w:numPr>
        <w:tabs>
          <w:tab w:val="left" w:pos="720"/>
          <w:tab w:val="left" w:pos="2520"/>
          <w:tab w:val="left" w:pos="6480"/>
        </w:tabs>
        <w:ind w:left="425" w:hanging="425"/>
        <w:rPr>
          <w:rFonts w:cs="Arial"/>
          <w:bCs w:val="0"/>
          <w:szCs w:val="24"/>
        </w:rPr>
      </w:pPr>
      <w:r w:rsidRPr="00B62385">
        <w:rPr>
          <w:rFonts w:cs="Arial"/>
          <w:szCs w:val="24"/>
        </w:rPr>
        <w:t xml:space="preserve">Independent Investigation reports are publicised in an anonymised format.   Perpetrators can be named at their request, as can victims or where the </w:t>
      </w:r>
      <w:r w:rsidR="00B61BE6">
        <w:rPr>
          <w:rFonts w:cs="Arial"/>
          <w:szCs w:val="24"/>
        </w:rPr>
        <w:t xml:space="preserve">families </w:t>
      </w:r>
      <w:r w:rsidRPr="00B62385">
        <w:rPr>
          <w:rFonts w:cs="Arial"/>
          <w:szCs w:val="24"/>
        </w:rPr>
        <w:t xml:space="preserve">make a request. </w:t>
      </w:r>
    </w:p>
    <w:p w:rsidR="00290060" w:rsidRPr="00290060" w:rsidRDefault="0058419C" w:rsidP="0072371B">
      <w:pPr>
        <w:pStyle w:val="ListParagraph"/>
        <w:numPr>
          <w:ilvl w:val="0"/>
          <w:numId w:val="67"/>
        </w:numPr>
        <w:ind w:left="425" w:hanging="425"/>
      </w:pPr>
      <w:r w:rsidRPr="00B62385">
        <w:rPr>
          <w:rFonts w:eastAsia="Calibri" w:cs="Arial"/>
          <w:szCs w:val="24"/>
        </w:rPr>
        <w:t>Resultant action plans will be published on the provider organisations website and be updated until completion.</w:t>
      </w:r>
      <w:r w:rsidR="00685DE9">
        <w:br w:type="page"/>
      </w:r>
    </w:p>
    <w:p w:rsidR="005D2131" w:rsidRDefault="005D2131" w:rsidP="00BE15C7">
      <w:pPr>
        <w:pStyle w:val="Heading1"/>
      </w:pPr>
      <w:bookmarkStart w:id="61" w:name="_Toc414568073"/>
      <w:r>
        <w:t>Appendix 2:</w:t>
      </w:r>
      <w:r w:rsidR="00290060">
        <w:t xml:space="preserve"> Notification of Interested bodies</w:t>
      </w:r>
      <w:bookmarkEnd w:id="61"/>
      <w:r w:rsidR="00290060">
        <w:t xml:space="preserve"> </w:t>
      </w:r>
    </w:p>
    <w:p w:rsidR="00290060" w:rsidRDefault="00290060" w:rsidP="00290060">
      <w:pPr>
        <w:autoSpaceDE w:val="0"/>
        <w:autoSpaceDN w:val="0"/>
        <w:adjustRightInd w:val="0"/>
        <w:spacing w:after="120"/>
        <w:rPr>
          <w:rFonts w:cstheme="minorHAnsi"/>
          <w:b/>
          <w:i/>
          <w:color w:val="000000"/>
          <w:szCs w:val="24"/>
        </w:rPr>
      </w:pPr>
    </w:p>
    <w:p w:rsidR="00290060" w:rsidRPr="00290060" w:rsidRDefault="006C1436" w:rsidP="00290060">
      <w:pPr>
        <w:autoSpaceDE w:val="0"/>
        <w:autoSpaceDN w:val="0"/>
        <w:adjustRightInd w:val="0"/>
        <w:spacing w:after="120"/>
        <w:rPr>
          <w:rFonts w:cstheme="minorHAnsi"/>
          <w:color w:val="000000"/>
          <w:szCs w:val="24"/>
        </w:rPr>
      </w:pPr>
      <w:r>
        <w:rPr>
          <w:rFonts w:cstheme="minorHAnsi"/>
          <w:color w:val="000000"/>
          <w:szCs w:val="24"/>
        </w:rPr>
        <w:t>Serious</w:t>
      </w:r>
      <w:r w:rsidR="00290060">
        <w:rPr>
          <w:rFonts w:cstheme="minorHAnsi"/>
          <w:color w:val="000000"/>
          <w:szCs w:val="24"/>
        </w:rPr>
        <w:t xml:space="preserve"> incidents</w:t>
      </w:r>
      <w:r w:rsidR="00290060" w:rsidRPr="00290060">
        <w:rPr>
          <w:rFonts w:cstheme="minorHAnsi"/>
          <w:color w:val="000000"/>
          <w:szCs w:val="24"/>
        </w:rPr>
        <w:t xml:space="preserve"> must be notified with</w:t>
      </w:r>
      <w:r w:rsidR="00290060">
        <w:rPr>
          <w:rFonts w:cstheme="minorHAnsi"/>
          <w:color w:val="000000"/>
          <w:szCs w:val="24"/>
        </w:rPr>
        <w:t>out</w:t>
      </w:r>
      <w:r w:rsidR="00290060" w:rsidRPr="00290060">
        <w:rPr>
          <w:rFonts w:cstheme="minorHAnsi"/>
          <w:color w:val="000000"/>
          <w:szCs w:val="24"/>
        </w:rPr>
        <w:t xml:space="preserve"> delay</w:t>
      </w:r>
      <w:r w:rsidR="00290060">
        <w:rPr>
          <w:rFonts w:cstheme="minorHAnsi"/>
          <w:color w:val="000000"/>
          <w:szCs w:val="24"/>
        </w:rPr>
        <w:t xml:space="preserve"> (or within specified timescales)</w:t>
      </w:r>
      <w:r>
        <w:rPr>
          <w:rFonts w:cstheme="minorHAnsi"/>
          <w:color w:val="000000"/>
          <w:szCs w:val="24"/>
        </w:rPr>
        <w:t xml:space="preserve"> to</w:t>
      </w:r>
      <w:r w:rsidR="00290060" w:rsidRPr="00290060">
        <w:rPr>
          <w:rFonts w:cstheme="minorHAnsi"/>
          <w:color w:val="000000"/>
          <w:szCs w:val="24"/>
        </w:rPr>
        <w:t xml:space="preserve"> </w:t>
      </w:r>
      <w:r>
        <w:rPr>
          <w:rFonts w:cstheme="minorHAnsi"/>
          <w:color w:val="000000"/>
          <w:szCs w:val="24"/>
        </w:rPr>
        <w:t>a</w:t>
      </w:r>
      <w:r w:rsidRPr="00290060">
        <w:rPr>
          <w:rFonts w:cstheme="minorHAnsi"/>
          <w:color w:val="000000"/>
          <w:szCs w:val="24"/>
        </w:rPr>
        <w:t>ll relevant bodies</w:t>
      </w:r>
      <w:r>
        <w:rPr>
          <w:rFonts w:cstheme="minorHAnsi"/>
          <w:color w:val="000000"/>
          <w:szCs w:val="24"/>
        </w:rPr>
        <w:t xml:space="preserve"> </w:t>
      </w:r>
      <w:r w:rsidR="00290060" w:rsidRPr="00290060">
        <w:rPr>
          <w:rFonts w:cstheme="minorHAnsi"/>
          <w:color w:val="000000"/>
          <w:szCs w:val="24"/>
        </w:rPr>
        <w:t>via the appropriate routes</w:t>
      </w:r>
      <w:r w:rsidR="004E1780">
        <w:rPr>
          <w:rFonts w:cstheme="minorHAnsi"/>
          <w:color w:val="000000"/>
          <w:szCs w:val="24"/>
        </w:rPr>
        <w:t>. Guidance produced by specific bodies should be referred to in order to ensure compliance with their requirements</w:t>
      </w:r>
      <w:r w:rsidR="00290060" w:rsidRPr="00290060">
        <w:rPr>
          <w:rFonts w:cstheme="minorHAnsi"/>
          <w:color w:val="000000"/>
          <w:szCs w:val="24"/>
        </w:rPr>
        <w:t>.</w:t>
      </w:r>
      <w:r>
        <w:rPr>
          <w:rFonts w:cstheme="minorHAnsi"/>
          <w:color w:val="000000"/>
          <w:szCs w:val="24"/>
        </w:rPr>
        <w:t xml:space="preserve"> Commissioners</w:t>
      </w:r>
      <w:r w:rsidR="00290060" w:rsidRPr="00290060">
        <w:rPr>
          <w:rFonts w:cstheme="minorHAnsi"/>
          <w:color w:val="000000"/>
          <w:szCs w:val="24"/>
        </w:rPr>
        <w:t xml:space="preserve"> </w:t>
      </w:r>
      <w:r>
        <w:rPr>
          <w:rFonts w:cstheme="minorHAnsi"/>
          <w:color w:val="000000"/>
          <w:szCs w:val="24"/>
        </w:rPr>
        <w:t xml:space="preserve">should </w:t>
      </w:r>
      <w:r w:rsidRPr="00290060">
        <w:rPr>
          <w:rFonts w:cstheme="minorHAnsi"/>
          <w:color w:val="000000"/>
          <w:szCs w:val="24"/>
        </w:rPr>
        <w:t>be notified</w:t>
      </w:r>
      <w:r>
        <w:rPr>
          <w:rFonts w:cstheme="minorHAnsi"/>
          <w:color w:val="000000"/>
          <w:szCs w:val="24"/>
        </w:rPr>
        <w:t xml:space="preserve"> of</w:t>
      </w:r>
      <w:r w:rsidRPr="00290060">
        <w:rPr>
          <w:rFonts w:cstheme="minorHAnsi"/>
          <w:color w:val="000000"/>
          <w:szCs w:val="24"/>
        </w:rPr>
        <w:t xml:space="preserve"> </w:t>
      </w:r>
      <w:r w:rsidR="00290060" w:rsidRPr="00290060">
        <w:rPr>
          <w:rFonts w:cstheme="minorHAnsi"/>
          <w:color w:val="000000"/>
          <w:szCs w:val="24"/>
        </w:rPr>
        <w:t xml:space="preserve">serious incidents no later than </w:t>
      </w:r>
      <w:r w:rsidR="008617BE">
        <w:rPr>
          <w:rFonts w:cstheme="minorHAnsi"/>
          <w:color w:val="000000"/>
          <w:szCs w:val="24"/>
        </w:rPr>
        <w:t xml:space="preserve">2 working days </w:t>
      </w:r>
      <w:r w:rsidR="00290060" w:rsidRPr="00290060">
        <w:rPr>
          <w:rFonts w:cstheme="minorHAnsi"/>
          <w:color w:val="000000"/>
          <w:szCs w:val="24"/>
        </w:rPr>
        <w:t xml:space="preserve">after the incident is identified. </w:t>
      </w:r>
    </w:p>
    <w:p w:rsidR="008357CB" w:rsidRDefault="008357CB" w:rsidP="00290060">
      <w:pPr>
        <w:autoSpaceDE w:val="0"/>
        <w:autoSpaceDN w:val="0"/>
        <w:adjustRightInd w:val="0"/>
        <w:spacing w:after="120"/>
        <w:rPr>
          <w:rFonts w:cstheme="minorHAnsi"/>
          <w:b/>
          <w:color w:val="000000"/>
          <w:szCs w:val="24"/>
        </w:rPr>
      </w:pPr>
    </w:p>
    <w:p w:rsidR="008357CB" w:rsidRDefault="00290060" w:rsidP="00290060">
      <w:pPr>
        <w:autoSpaceDE w:val="0"/>
        <w:autoSpaceDN w:val="0"/>
        <w:adjustRightInd w:val="0"/>
        <w:spacing w:after="120"/>
        <w:rPr>
          <w:rFonts w:cstheme="minorHAnsi"/>
          <w:color w:val="000000"/>
          <w:szCs w:val="24"/>
        </w:rPr>
      </w:pPr>
      <w:r w:rsidRPr="005448CA">
        <w:rPr>
          <w:rFonts w:cstheme="minorHAnsi"/>
          <w:b/>
          <w:color w:val="000000"/>
          <w:szCs w:val="24"/>
        </w:rPr>
        <w:t>CQC</w:t>
      </w:r>
    </w:p>
    <w:p w:rsidR="004E1780" w:rsidRPr="004E1780" w:rsidRDefault="004E1780" w:rsidP="004E1780">
      <w:pPr>
        <w:autoSpaceDE w:val="0"/>
        <w:autoSpaceDN w:val="0"/>
        <w:adjustRightInd w:val="0"/>
        <w:spacing w:after="120"/>
        <w:rPr>
          <w:rFonts w:cstheme="minorHAnsi"/>
          <w:color w:val="000000"/>
          <w:szCs w:val="24"/>
        </w:rPr>
      </w:pPr>
      <w:r>
        <w:rPr>
          <w:rFonts w:cstheme="minorHAnsi"/>
          <w:color w:val="000000"/>
          <w:szCs w:val="24"/>
        </w:rPr>
        <w:t xml:space="preserve">HSCA notification </w:t>
      </w:r>
      <w:r w:rsidRPr="004E1780">
        <w:rPr>
          <w:rFonts w:cstheme="minorHAnsi"/>
          <w:color w:val="000000"/>
          <w:szCs w:val="24"/>
        </w:rPr>
        <w:t xml:space="preserve">must be made by all services registered under the Health and Social Care Act (HSCA). This includes all NHS </w:t>
      </w:r>
      <w:r w:rsidR="00770B1B">
        <w:rPr>
          <w:rFonts w:cstheme="minorHAnsi"/>
          <w:color w:val="000000"/>
          <w:szCs w:val="24"/>
        </w:rPr>
        <w:t>T</w:t>
      </w:r>
      <w:r w:rsidRPr="004E1780">
        <w:rPr>
          <w:rFonts w:cstheme="minorHAnsi"/>
          <w:color w:val="000000"/>
          <w:szCs w:val="24"/>
        </w:rPr>
        <w:t>rusts, independent healthcare, adult social care, primary dental care and independent ambulance providers.</w:t>
      </w:r>
    </w:p>
    <w:p w:rsidR="004E1780" w:rsidRDefault="004E1780" w:rsidP="004E1780">
      <w:pPr>
        <w:autoSpaceDE w:val="0"/>
        <w:autoSpaceDN w:val="0"/>
        <w:adjustRightInd w:val="0"/>
        <w:spacing w:after="120"/>
        <w:rPr>
          <w:rFonts w:cstheme="minorHAnsi"/>
          <w:color w:val="000000"/>
          <w:szCs w:val="24"/>
        </w:rPr>
      </w:pPr>
      <w:r w:rsidRPr="004E1780">
        <w:rPr>
          <w:rFonts w:cstheme="minorHAnsi"/>
          <w:color w:val="000000"/>
          <w:szCs w:val="24"/>
        </w:rPr>
        <w:t xml:space="preserve">The way in which notifications are made will depend on their nature and the type of service. The process differs slightly for NHS </w:t>
      </w:r>
      <w:r w:rsidR="00770B1B">
        <w:rPr>
          <w:rFonts w:cstheme="minorHAnsi"/>
          <w:color w:val="000000"/>
          <w:szCs w:val="24"/>
        </w:rPr>
        <w:t>T</w:t>
      </w:r>
      <w:r w:rsidRPr="004E1780">
        <w:rPr>
          <w:rFonts w:cstheme="minorHAnsi"/>
          <w:color w:val="000000"/>
          <w:szCs w:val="24"/>
        </w:rPr>
        <w:t>rusts than f</w:t>
      </w:r>
      <w:r w:rsidR="00770B1B">
        <w:rPr>
          <w:rFonts w:cstheme="minorHAnsi"/>
          <w:color w:val="000000"/>
          <w:szCs w:val="24"/>
        </w:rPr>
        <w:t>or</w:t>
      </w:r>
      <w:r w:rsidRPr="004E1780">
        <w:rPr>
          <w:rFonts w:cstheme="minorHAnsi"/>
          <w:color w:val="000000"/>
          <w:szCs w:val="24"/>
        </w:rPr>
        <w:t xml:space="preserve"> other providers</w:t>
      </w:r>
    </w:p>
    <w:p w:rsidR="00290060" w:rsidRPr="00CD6870" w:rsidRDefault="004E1780" w:rsidP="00290060">
      <w:pPr>
        <w:autoSpaceDE w:val="0"/>
        <w:autoSpaceDN w:val="0"/>
        <w:adjustRightInd w:val="0"/>
        <w:spacing w:after="120"/>
        <w:rPr>
          <w:rFonts w:cstheme="minorHAnsi"/>
          <w:color w:val="000000"/>
          <w:szCs w:val="24"/>
        </w:rPr>
      </w:pPr>
      <w:r>
        <w:rPr>
          <w:rFonts w:cstheme="minorHAnsi"/>
          <w:color w:val="000000"/>
          <w:szCs w:val="24"/>
        </w:rPr>
        <w:t xml:space="preserve">For NHS Trusts, the requirement to report incidents is typically met by reporting incidents to the National Reporting and Learning System. </w:t>
      </w:r>
      <w:r w:rsidR="00290060" w:rsidRPr="005448CA">
        <w:rPr>
          <w:rFonts w:cstheme="minorHAnsi"/>
          <w:color w:val="000000"/>
          <w:szCs w:val="24"/>
        </w:rPr>
        <w:t xml:space="preserve">Please refer to the CQC’s notification guidance which outlines how each type of notification needs to be made: </w:t>
      </w:r>
      <w:r w:rsidRPr="004E1780">
        <w:t xml:space="preserve"> </w:t>
      </w:r>
      <w:r w:rsidRPr="004E1780">
        <w:rPr>
          <w:rFonts w:cstheme="minorHAnsi"/>
          <w:color w:val="0072C6" w:themeColor="hyperlink"/>
          <w:szCs w:val="24"/>
          <w:u w:val="single"/>
        </w:rPr>
        <w:t>http://www.cqc.org.uk/content/notifications</w:t>
      </w:r>
    </w:p>
    <w:p w:rsidR="008357CB" w:rsidRDefault="008357CB" w:rsidP="00290060">
      <w:pPr>
        <w:autoSpaceDE w:val="0"/>
        <w:autoSpaceDN w:val="0"/>
        <w:adjustRightInd w:val="0"/>
        <w:spacing w:after="120"/>
        <w:rPr>
          <w:rFonts w:cstheme="minorHAnsi"/>
          <w:b/>
          <w:color w:val="000000"/>
          <w:szCs w:val="24"/>
        </w:rPr>
      </w:pPr>
    </w:p>
    <w:p w:rsidR="00290060" w:rsidRPr="00AE6324" w:rsidRDefault="00290060" w:rsidP="00290060">
      <w:pPr>
        <w:autoSpaceDE w:val="0"/>
        <w:autoSpaceDN w:val="0"/>
        <w:adjustRightInd w:val="0"/>
        <w:spacing w:after="120"/>
        <w:rPr>
          <w:rFonts w:cstheme="minorHAnsi"/>
          <w:b/>
          <w:color w:val="000000"/>
          <w:szCs w:val="24"/>
        </w:rPr>
      </w:pPr>
      <w:r w:rsidRPr="00AE6324">
        <w:rPr>
          <w:rFonts w:cstheme="minorHAnsi"/>
          <w:b/>
          <w:color w:val="000000"/>
          <w:szCs w:val="24"/>
        </w:rPr>
        <w:t>Controlled Drugs</w:t>
      </w:r>
    </w:p>
    <w:p w:rsidR="00290060" w:rsidRPr="00CD6870" w:rsidRDefault="00290060" w:rsidP="00290060">
      <w:pPr>
        <w:autoSpaceDE w:val="0"/>
        <w:autoSpaceDN w:val="0"/>
        <w:adjustRightInd w:val="0"/>
        <w:spacing w:after="120"/>
        <w:rPr>
          <w:rFonts w:cstheme="minorHAnsi"/>
          <w:color w:val="000000"/>
          <w:szCs w:val="24"/>
        </w:rPr>
      </w:pPr>
      <w:r w:rsidRPr="00AE6324">
        <w:rPr>
          <w:rFonts w:cstheme="minorHAnsi"/>
          <w:color w:val="000000"/>
          <w:szCs w:val="24"/>
        </w:rPr>
        <w:t>Serious incidents relating to controlled drugs must be reported to the p</w:t>
      </w:r>
      <w:r>
        <w:rPr>
          <w:rFonts w:cstheme="minorHAnsi"/>
          <w:color w:val="000000"/>
          <w:szCs w:val="24"/>
        </w:rPr>
        <w:t xml:space="preserve">rovider’s Accountable Officer. </w:t>
      </w:r>
    </w:p>
    <w:p w:rsidR="008357CB" w:rsidRDefault="008357CB" w:rsidP="00290060">
      <w:pPr>
        <w:autoSpaceDE w:val="0"/>
        <w:autoSpaceDN w:val="0"/>
        <w:adjustRightInd w:val="0"/>
        <w:spacing w:after="120"/>
        <w:rPr>
          <w:rFonts w:cstheme="minorHAnsi"/>
          <w:b/>
          <w:color w:val="000000"/>
          <w:szCs w:val="24"/>
        </w:rPr>
      </w:pPr>
    </w:p>
    <w:p w:rsidR="00290060" w:rsidRPr="005448CA" w:rsidRDefault="00290060" w:rsidP="00290060">
      <w:pPr>
        <w:autoSpaceDE w:val="0"/>
        <w:autoSpaceDN w:val="0"/>
        <w:adjustRightInd w:val="0"/>
        <w:spacing w:after="120"/>
        <w:rPr>
          <w:rFonts w:cstheme="minorHAnsi"/>
          <w:b/>
          <w:color w:val="000000"/>
          <w:szCs w:val="24"/>
        </w:rPr>
      </w:pPr>
      <w:r>
        <w:rPr>
          <w:rFonts w:cstheme="minorHAnsi"/>
          <w:b/>
          <w:color w:val="000000"/>
          <w:szCs w:val="24"/>
        </w:rPr>
        <w:t>Coroner</w:t>
      </w:r>
    </w:p>
    <w:p w:rsidR="00290060" w:rsidRPr="005448CA" w:rsidRDefault="00290060" w:rsidP="00290060">
      <w:pPr>
        <w:autoSpaceDE w:val="0"/>
        <w:autoSpaceDN w:val="0"/>
        <w:adjustRightInd w:val="0"/>
        <w:spacing w:after="120"/>
        <w:rPr>
          <w:rFonts w:cstheme="minorHAnsi"/>
          <w:color w:val="000000"/>
          <w:szCs w:val="24"/>
        </w:rPr>
      </w:pPr>
      <w:r w:rsidRPr="005448CA">
        <w:rPr>
          <w:rFonts w:cstheme="minorHAnsi"/>
          <w:color w:val="000000"/>
          <w:szCs w:val="24"/>
        </w:rPr>
        <w:t xml:space="preserve">An unexpected death (where natural causes are not suspected) and all deaths of detained patients must be reported to the </w:t>
      </w:r>
      <w:r w:rsidR="00770B1B">
        <w:rPr>
          <w:rFonts w:cstheme="minorHAnsi"/>
          <w:color w:val="000000"/>
          <w:szCs w:val="24"/>
        </w:rPr>
        <w:t>C</w:t>
      </w:r>
      <w:r w:rsidRPr="005448CA">
        <w:rPr>
          <w:rFonts w:cstheme="minorHAnsi"/>
          <w:color w:val="000000"/>
          <w:szCs w:val="24"/>
        </w:rPr>
        <w:t>oroner by the treating clinician. This should be done immediately</w:t>
      </w:r>
      <w:r>
        <w:rPr>
          <w:rFonts w:cstheme="minorHAnsi"/>
          <w:color w:val="000000"/>
          <w:szCs w:val="24"/>
        </w:rPr>
        <w:t>. It is recognised that</w:t>
      </w:r>
      <w:r w:rsidRPr="005448CA">
        <w:rPr>
          <w:rFonts w:cstheme="minorHAnsi"/>
          <w:color w:val="000000"/>
          <w:szCs w:val="24"/>
        </w:rPr>
        <w:t>, following an unexpected death, a serious incident may not be identified until the issuing of the coroner’s report.</w:t>
      </w:r>
    </w:p>
    <w:p w:rsidR="00290060" w:rsidRPr="005448CA" w:rsidRDefault="00290060" w:rsidP="00290060">
      <w:pPr>
        <w:autoSpaceDE w:val="0"/>
        <w:autoSpaceDN w:val="0"/>
        <w:adjustRightInd w:val="0"/>
        <w:spacing w:after="120"/>
        <w:rPr>
          <w:rFonts w:cstheme="minorHAnsi"/>
          <w:color w:val="000000"/>
          <w:szCs w:val="24"/>
        </w:rPr>
      </w:pPr>
      <w:r w:rsidRPr="005448CA">
        <w:rPr>
          <w:rFonts w:cstheme="minorHAnsi"/>
          <w:color w:val="000000"/>
          <w:szCs w:val="24"/>
        </w:rPr>
        <w:t>Coroners make two sorts of referral to the police:</w:t>
      </w:r>
    </w:p>
    <w:p w:rsidR="00290060" w:rsidRPr="005448CA" w:rsidRDefault="00290060" w:rsidP="0072371B">
      <w:pPr>
        <w:numPr>
          <w:ilvl w:val="0"/>
          <w:numId w:val="25"/>
        </w:numPr>
        <w:autoSpaceDE w:val="0"/>
        <w:autoSpaceDN w:val="0"/>
        <w:adjustRightInd w:val="0"/>
        <w:spacing w:after="120" w:line="276" w:lineRule="auto"/>
        <w:rPr>
          <w:rFonts w:cstheme="minorHAnsi"/>
          <w:color w:val="000000"/>
          <w:szCs w:val="24"/>
        </w:rPr>
      </w:pPr>
      <w:r w:rsidRPr="005448CA">
        <w:rPr>
          <w:rFonts w:cstheme="minorHAnsi"/>
          <w:color w:val="000000"/>
          <w:szCs w:val="24"/>
        </w:rPr>
        <w:t xml:space="preserve">For an investigation under the Coroner’s Act where the Coroner expects a police officer to investigate the death and prepare a file for the inquest by obtaining witness statements and other evidence. </w:t>
      </w:r>
    </w:p>
    <w:p w:rsidR="00290060" w:rsidRPr="005448CA" w:rsidRDefault="00290060" w:rsidP="0072371B">
      <w:pPr>
        <w:numPr>
          <w:ilvl w:val="0"/>
          <w:numId w:val="25"/>
        </w:numPr>
        <w:autoSpaceDE w:val="0"/>
        <w:autoSpaceDN w:val="0"/>
        <w:adjustRightInd w:val="0"/>
        <w:spacing w:after="120" w:line="276" w:lineRule="auto"/>
        <w:rPr>
          <w:rFonts w:cstheme="minorHAnsi"/>
          <w:color w:val="000000"/>
          <w:szCs w:val="24"/>
        </w:rPr>
      </w:pPr>
      <w:r w:rsidRPr="005448CA">
        <w:rPr>
          <w:rFonts w:cstheme="minorHAnsi"/>
          <w:color w:val="000000"/>
          <w:szCs w:val="24"/>
        </w:rPr>
        <w:t>For a criminal investigation where the Coroner is concerned that the circumstances of the death may involve criminal liability.</w:t>
      </w:r>
    </w:p>
    <w:p w:rsidR="00290060" w:rsidRDefault="00290060" w:rsidP="00290060">
      <w:pPr>
        <w:autoSpaceDE w:val="0"/>
        <w:autoSpaceDN w:val="0"/>
        <w:adjustRightInd w:val="0"/>
        <w:spacing w:after="120"/>
        <w:rPr>
          <w:rFonts w:cstheme="minorHAnsi"/>
          <w:color w:val="000000"/>
          <w:szCs w:val="24"/>
        </w:rPr>
      </w:pPr>
      <w:r w:rsidRPr="005448CA">
        <w:rPr>
          <w:rFonts w:cstheme="minorHAnsi"/>
          <w:color w:val="000000"/>
          <w:szCs w:val="24"/>
        </w:rPr>
        <w:t xml:space="preserve">Investigating </w:t>
      </w:r>
      <w:r w:rsidR="008805FE">
        <w:rPr>
          <w:rFonts w:cstheme="minorHAnsi"/>
          <w:color w:val="000000"/>
          <w:szCs w:val="24"/>
        </w:rPr>
        <w:t xml:space="preserve">police </w:t>
      </w:r>
      <w:r w:rsidRPr="005448CA">
        <w:rPr>
          <w:rFonts w:cstheme="minorHAnsi"/>
          <w:color w:val="000000"/>
          <w:szCs w:val="24"/>
        </w:rPr>
        <w:t>officers should be clear with the NHS and other organisations when they are acting on behalf of the Coroner to establish the cause of death</w:t>
      </w:r>
      <w:r w:rsidR="0017154E">
        <w:rPr>
          <w:rFonts w:cstheme="minorHAnsi"/>
          <w:color w:val="000000"/>
          <w:szCs w:val="24"/>
        </w:rPr>
        <w:t>,</w:t>
      </w:r>
      <w:r w:rsidRPr="005448CA">
        <w:rPr>
          <w:rFonts w:cstheme="minorHAnsi"/>
          <w:color w:val="000000"/>
          <w:szCs w:val="24"/>
        </w:rPr>
        <w:t xml:space="preserve"> rather than investigating a crime. If the matter becomes a criminal investigation</w:t>
      </w:r>
      <w:r w:rsidR="0017154E">
        <w:rPr>
          <w:rFonts w:cstheme="minorHAnsi"/>
          <w:color w:val="000000"/>
          <w:szCs w:val="24"/>
        </w:rPr>
        <w:t>,</w:t>
      </w:r>
      <w:r w:rsidRPr="005448CA">
        <w:rPr>
          <w:rFonts w:cstheme="minorHAnsi"/>
          <w:color w:val="000000"/>
          <w:szCs w:val="24"/>
        </w:rPr>
        <w:t xml:space="preserve"> the investigating officer should make it clear to the NHS organisation and others that the </w:t>
      </w:r>
      <w:r w:rsidR="001F7238" w:rsidRPr="005448CA">
        <w:rPr>
          <w:rFonts w:cstheme="minorHAnsi"/>
          <w:color w:val="000000"/>
          <w:szCs w:val="24"/>
        </w:rPr>
        <w:t>status of the investigation and</w:t>
      </w:r>
      <w:r w:rsidR="001F7238">
        <w:rPr>
          <w:rFonts w:cstheme="minorHAnsi"/>
          <w:color w:val="000000"/>
          <w:szCs w:val="24"/>
        </w:rPr>
        <w:t xml:space="preserve"> their role in it has</w:t>
      </w:r>
      <w:r>
        <w:rPr>
          <w:rFonts w:cstheme="minorHAnsi"/>
          <w:color w:val="000000"/>
          <w:szCs w:val="24"/>
        </w:rPr>
        <w:t xml:space="preserve"> changed.</w:t>
      </w:r>
    </w:p>
    <w:p w:rsidR="00290060" w:rsidRDefault="00290060" w:rsidP="00290060">
      <w:pPr>
        <w:autoSpaceDE w:val="0"/>
        <w:autoSpaceDN w:val="0"/>
        <w:adjustRightInd w:val="0"/>
        <w:spacing w:after="120"/>
        <w:rPr>
          <w:rFonts w:cstheme="minorHAnsi"/>
          <w:b/>
          <w:color w:val="000000"/>
          <w:szCs w:val="24"/>
        </w:rPr>
      </w:pPr>
    </w:p>
    <w:p w:rsidR="006C1436" w:rsidRDefault="006C1436" w:rsidP="00290060">
      <w:pPr>
        <w:autoSpaceDE w:val="0"/>
        <w:autoSpaceDN w:val="0"/>
        <w:adjustRightInd w:val="0"/>
        <w:spacing w:after="120"/>
        <w:rPr>
          <w:rFonts w:cstheme="minorHAnsi"/>
          <w:b/>
          <w:color w:val="000000"/>
          <w:szCs w:val="24"/>
        </w:rPr>
      </w:pPr>
    </w:p>
    <w:p w:rsidR="00290060" w:rsidRPr="005448CA" w:rsidRDefault="00290060" w:rsidP="00290060">
      <w:pPr>
        <w:autoSpaceDE w:val="0"/>
        <w:autoSpaceDN w:val="0"/>
        <w:adjustRightInd w:val="0"/>
        <w:spacing w:after="120"/>
        <w:rPr>
          <w:rFonts w:cstheme="minorHAnsi"/>
          <w:b/>
          <w:color w:val="000000"/>
          <w:szCs w:val="24"/>
        </w:rPr>
      </w:pPr>
      <w:r w:rsidRPr="005448CA">
        <w:rPr>
          <w:rFonts w:cstheme="minorHAnsi"/>
          <w:b/>
          <w:color w:val="000000"/>
          <w:szCs w:val="24"/>
        </w:rPr>
        <w:lastRenderedPageBreak/>
        <w:t xml:space="preserve">Defects and Failures </w:t>
      </w:r>
    </w:p>
    <w:p w:rsidR="00290060" w:rsidRDefault="00290060" w:rsidP="00290060">
      <w:pPr>
        <w:autoSpaceDE w:val="0"/>
        <w:autoSpaceDN w:val="0"/>
        <w:adjustRightInd w:val="0"/>
        <w:spacing w:after="120"/>
        <w:rPr>
          <w:rFonts w:cstheme="minorHAnsi"/>
          <w:color w:val="000000"/>
          <w:szCs w:val="24"/>
        </w:rPr>
      </w:pPr>
      <w:r w:rsidRPr="005448CA">
        <w:rPr>
          <w:rFonts w:cstheme="minorHAnsi"/>
          <w:color w:val="000000"/>
          <w:szCs w:val="24"/>
        </w:rPr>
        <w:t xml:space="preserve">Where incidents relate to a defect or failure </w:t>
      </w:r>
      <w:r w:rsidR="000C5C7A" w:rsidRPr="000C5C7A">
        <w:rPr>
          <w:rFonts w:cstheme="minorHAnsi"/>
          <w:color w:val="000000"/>
          <w:szCs w:val="24"/>
        </w:rPr>
        <w:t>involving engineering plant</w:t>
      </w:r>
      <w:r w:rsidR="000C5C7A">
        <w:rPr>
          <w:rFonts w:cstheme="minorHAnsi"/>
          <w:color w:val="000000"/>
          <w:szCs w:val="24"/>
        </w:rPr>
        <w:t>s</w:t>
      </w:r>
      <w:r w:rsidR="000C5C7A" w:rsidRPr="000C5C7A">
        <w:rPr>
          <w:rFonts w:cstheme="minorHAnsi"/>
          <w:color w:val="000000"/>
          <w:szCs w:val="24"/>
        </w:rPr>
        <w:t>, infrastructure and</w:t>
      </w:r>
      <w:r w:rsidR="000C5C7A">
        <w:rPr>
          <w:rFonts w:cstheme="minorHAnsi"/>
          <w:color w:val="000000"/>
          <w:szCs w:val="24"/>
        </w:rPr>
        <w:t>/or</w:t>
      </w:r>
      <w:r w:rsidR="000C5C7A" w:rsidRPr="000C5C7A">
        <w:rPr>
          <w:rFonts w:cstheme="minorHAnsi"/>
          <w:color w:val="000000"/>
          <w:szCs w:val="24"/>
        </w:rPr>
        <w:t xml:space="preserve"> non-medical devices</w:t>
      </w:r>
      <w:r w:rsidR="000C5C7A">
        <w:rPr>
          <w:rFonts w:cstheme="minorHAnsi"/>
          <w:color w:val="000000"/>
          <w:szCs w:val="24"/>
        </w:rPr>
        <w:t>,</w:t>
      </w:r>
      <w:r w:rsidRPr="005448CA">
        <w:rPr>
          <w:rFonts w:cstheme="minorHAnsi"/>
          <w:color w:val="000000"/>
          <w:szCs w:val="24"/>
        </w:rPr>
        <w:t xml:space="preserve"> a defect and failure report should also be submitted by the organisation </w:t>
      </w:r>
      <w:r w:rsidR="000C5C7A">
        <w:rPr>
          <w:rFonts w:cstheme="minorHAnsi"/>
          <w:color w:val="000000"/>
          <w:szCs w:val="24"/>
        </w:rPr>
        <w:t>to the</w:t>
      </w:r>
      <w:r w:rsidR="003B4FFF">
        <w:rPr>
          <w:rFonts w:cstheme="minorHAnsi"/>
          <w:color w:val="000000"/>
          <w:szCs w:val="24"/>
        </w:rPr>
        <w:t xml:space="preserve"> Department of Health</w:t>
      </w:r>
      <w:r w:rsidR="000C5C7A">
        <w:rPr>
          <w:rFonts w:cstheme="minorHAnsi"/>
          <w:color w:val="000000"/>
          <w:szCs w:val="24"/>
        </w:rPr>
        <w:t xml:space="preserve"> via the</w:t>
      </w:r>
      <w:r w:rsidRPr="005448CA">
        <w:rPr>
          <w:rFonts w:cstheme="minorHAnsi"/>
          <w:color w:val="000000"/>
          <w:szCs w:val="24"/>
        </w:rPr>
        <w:t xml:space="preserve"> defect </w:t>
      </w:r>
      <w:r>
        <w:rPr>
          <w:rFonts w:cstheme="minorHAnsi"/>
          <w:color w:val="000000"/>
          <w:szCs w:val="24"/>
        </w:rPr>
        <w:t xml:space="preserve">and failure reporting </w:t>
      </w:r>
      <w:r w:rsidR="000C5C7A">
        <w:rPr>
          <w:rFonts w:cstheme="minorHAnsi"/>
          <w:color w:val="000000"/>
          <w:szCs w:val="24"/>
        </w:rPr>
        <w:t xml:space="preserve">portal </w:t>
      </w:r>
      <w:hyperlink r:id="rId29" w:history="1">
        <w:r w:rsidR="000C5C7A" w:rsidRPr="00EC6AA5">
          <w:rPr>
            <w:rStyle w:val="Hyperlink"/>
            <w:rFonts w:cstheme="minorHAnsi"/>
            <w:szCs w:val="24"/>
          </w:rPr>
          <w:t>http://efm.hscic.gov.uk/</w:t>
        </w:r>
      </w:hyperlink>
      <w:r w:rsidR="000C5C7A">
        <w:rPr>
          <w:rFonts w:cstheme="minorHAnsi"/>
          <w:color w:val="000000"/>
          <w:szCs w:val="24"/>
        </w:rPr>
        <w:t xml:space="preserve"> </w:t>
      </w:r>
    </w:p>
    <w:p w:rsidR="00293B7B" w:rsidRDefault="00293B7B" w:rsidP="00290060">
      <w:pPr>
        <w:autoSpaceDE w:val="0"/>
        <w:autoSpaceDN w:val="0"/>
        <w:adjustRightInd w:val="0"/>
        <w:spacing w:after="120"/>
        <w:rPr>
          <w:rFonts w:cstheme="minorHAnsi"/>
          <w:b/>
          <w:color w:val="000000"/>
          <w:szCs w:val="24"/>
        </w:rPr>
      </w:pPr>
    </w:p>
    <w:p w:rsidR="00290060" w:rsidRPr="005448CA" w:rsidRDefault="00290060" w:rsidP="00290060">
      <w:pPr>
        <w:autoSpaceDE w:val="0"/>
        <w:autoSpaceDN w:val="0"/>
        <w:adjustRightInd w:val="0"/>
        <w:spacing w:after="120"/>
        <w:rPr>
          <w:rFonts w:cstheme="minorHAnsi"/>
          <w:b/>
          <w:color w:val="000000"/>
          <w:szCs w:val="24"/>
        </w:rPr>
      </w:pPr>
      <w:r w:rsidRPr="005448CA">
        <w:rPr>
          <w:rFonts w:cstheme="minorHAnsi"/>
          <w:b/>
          <w:color w:val="000000"/>
          <w:szCs w:val="24"/>
        </w:rPr>
        <w:t>Health and Safety Executive (HSE)</w:t>
      </w:r>
    </w:p>
    <w:p w:rsidR="00290060" w:rsidRDefault="00290060" w:rsidP="00290060">
      <w:pPr>
        <w:autoSpaceDE w:val="0"/>
        <w:autoSpaceDN w:val="0"/>
        <w:adjustRightInd w:val="0"/>
        <w:spacing w:after="120"/>
        <w:rPr>
          <w:rFonts w:cstheme="minorHAnsi"/>
          <w:color w:val="000000"/>
          <w:szCs w:val="24"/>
        </w:rPr>
      </w:pPr>
      <w:r w:rsidRPr="005448CA">
        <w:rPr>
          <w:rFonts w:cstheme="minorHAnsi"/>
          <w:color w:val="000000"/>
          <w:szCs w:val="24"/>
        </w:rPr>
        <w:t xml:space="preserve">The HSE is responsible for the enforcement of the Health and Safety at Work Act 1974 (HSWA) and ensuring that “risks to people’s health and safety from work activities are properly controlled”. Serious incidents may need to be reported under the Reporting of Injuries, Diseases and Dangerous Occurrences Regulations 1995 (RIDDOR). The trigger point for RIDDOR reporting is over </w:t>
      </w:r>
      <w:r w:rsidR="00770B1B">
        <w:rPr>
          <w:rFonts w:cstheme="minorHAnsi"/>
          <w:color w:val="000000"/>
          <w:szCs w:val="24"/>
        </w:rPr>
        <w:t>7</w:t>
      </w:r>
      <w:r w:rsidRPr="005448CA">
        <w:rPr>
          <w:rFonts w:cstheme="minorHAnsi"/>
          <w:color w:val="000000"/>
          <w:szCs w:val="24"/>
        </w:rPr>
        <w:t xml:space="preserve">days’ incapacitation (not counting the day on which the accident happened). Further information on reporting is available at </w:t>
      </w:r>
      <w:hyperlink r:id="rId30" w:history="1">
        <w:r w:rsidRPr="005448CA">
          <w:rPr>
            <w:rStyle w:val="Hyperlink"/>
            <w:rFonts w:cstheme="minorHAnsi"/>
            <w:szCs w:val="24"/>
          </w:rPr>
          <w:t>http://www.hse.gov.uk/riddor/report.htm</w:t>
        </w:r>
      </w:hyperlink>
      <w:r w:rsidRPr="005448CA">
        <w:rPr>
          <w:rFonts w:cstheme="minorHAnsi"/>
          <w:color w:val="000000"/>
          <w:szCs w:val="24"/>
        </w:rPr>
        <w:t xml:space="preserve"> </w:t>
      </w:r>
    </w:p>
    <w:p w:rsidR="00290060" w:rsidRPr="00CD6870" w:rsidRDefault="00290060" w:rsidP="00290060">
      <w:pPr>
        <w:autoSpaceDE w:val="0"/>
        <w:autoSpaceDN w:val="0"/>
        <w:adjustRightInd w:val="0"/>
        <w:spacing w:after="120"/>
        <w:rPr>
          <w:rFonts w:cstheme="minorHAnsi"/>
          <w:b/>
          <w:color w:val="000000"/>
          <w:szCs w:val="24"/>
        </w:rPr>
      </w:pPr>
      <w:r w:rsidRPr="005448CA">
        <w:rPr>
          <w:rFonts w:cstheme="minorHAnsi"/>
          <w:color w:val="000000"/>
          <w:szCs w:val="24"/>
        </w:rPr>
        <w:t>Incidents involving work-related deaths (or cases where the victim suffers injuries in such an incident that are so serious that there is a clear indication, according to medical opinion, of a strong likelihood of death) should be</w:t>
      </w:r>
      <w:r w:rsidR="009A1067">
        <w:rPr>
          <w:rFonts w:cstheme="minorHAnsi"/>
          <w:color w:val="000000"/>
          <w:szCs w:val="24"/>
        </w:rPr>
        <w:t xml:space="preserve"> reported under RIDDOR and</w:t>
      </w:r>
      <w:r w:rsidRPr="005448CA">
        <w:rPr>
          <w:rFonts w:cstheme="minorHAnsi"/>
          <w:color w:val="000000"/>
          <w:szCs w:val="24"/>
        </w:rPr>
        <w:t xml:space="preserve"> managed in accordance with </w:t>
      </w:r>
      <w:r w:rsidR="009A1067">
        <w:rPr>
          <w:rFonts w:cstheme="minorHAnsi"/>
          <w:color w:val="000000"/>
          <w:szCs w:val="24"/>
        </w:rPr>
        <w:t xml:space="preserve">the </w:t>
      </w:r>
      <w:r w:rsidRPr="005448CA">
        <w:rPr>
          <w:rFonts w:cstheme="minorHAnsi"/>
          <w:color w:val="000000"/>
          <w:szCs w:val="24"/>
        </w:rPr>
        <w:t>Work</w:t>
      </w:r>
      <w:r w:rsidR="00770B1B">
        <w:rPr>
          <w:rFonts w:cstheme="minorHAnsi"/>
          <w:color w:val="000000"/>
          <w:szCs w:val="24"/>
        </w:rPr>
        <w:t>-</w:t>
      </w:r>
      <w:r w:rsidRPr="005448CA">
        <w:rPr>
          <w:rFonts w:cstheme="minorHAnsi"/>
          <w:color w:val="000000"/>
          <w:szCs w:val="24"/>
        </w:rPr>
        <w:t>Related Deaths</w:t>
      </w:r>
      <w:r w:rsidR="009A1067">
        <w:rPr>
          <w:rFonts w:cstheme="minorHAnsi"/>
          <w:color w:val="000000"/>
          <w:szCs w:val="24"/>
        </w:rPr>
        <w:t xml:space="preserve"> Protocol</w:t>
      </w:r>
      <w:r w:rsidRPr="005448CA">
        <w:rPr>
          <w:rFonts w:cstheme="minorHAnsi"/>
          <w:color w:val="000000"/>
          <w:szCs w:val="24"/>
        </w:rPr>
        <w:t>. In the first instance the incident should be reported within the organisation in the normal way and to the commissioning organisation</w:t>
      </w:r>
      <w:r w:rsidRPr="005448CA">
        <w:rPr>
          <w:rStyle w:val="EndnoteReference"/>
          <w:rFonts w:eastAsiaTheme="majorEastAsia" w:cstheme="minorHAnsi"/>
          <w:color w:val="000000"/>
          <w:szCs w:val="24"/>
        </w:rPr>
        <w:endnoteReference w:id="8"/>
      </w:r>
      <w:r w:rsidRPr="005448CA">
        <w:rPr>
          <w:rFonts w:cstheme="minorHAnsi"/>
          <w:color w:val="000000"/>
          <w:szCs w:val="24"/>
        </w:rPr>
        <w:t>.</w:t>
      </w:r>
    </w:p>
    <w:p w:rsidR="008357CB" w:rsidRDefault="008357CB" w:rsidP="00290060">
      <w:pPr>
        <w:autoSpaceDE w:val="0"/>
        <w:autoSpaceDN w:val="0"/>
        <w:adjustRightInd w:val="0"/>
        <w:spacing w:after="120"/>
        <w:rPr>
          <w:rFonts w:cstheme="minorHAnsi"/>
          <w:b/>
          <w:color w:val="000000"/>
          <w:szCs w:val="24"/>
        </w:rPr>
      </w:pPr>
    </w:p>
    <w:p w:rsidR="00290060" w:rsidRPr="005448CA" w:rsidRDefault="008357CB" w:rsidP="00290060">
      <w:pPr>
        <w:autoSpaceDE w:val="0"/>
        <w:autoSpaceDN w:val="0"/>
        <w:adjustRightInd w:val="0"/>
        <w:spacing w:after="120"/>
        <w:rPr>
          <w:rFonts w:cstheme="minorHAnsi"/>
          <w:color w:val="000000"/>
          <w:szCs w:val="24"/>
        </w:rPr>
      </w:pPr>
      <w:r>
        <w:rPr>
          <w:rFonts w:cstheme="minorHAnsi"/>
          <w:b/>
          <w:color w:val="000000"/>
          <w:szCs w:val="24"/>
        </w:rPr>
        <w:t>H</w:t>
      </w:r>
      <w:r w:rsidR="00290060" w:rsidRPr="005448CA">
        <w:rPr>
          <w:rFonts w:cstheme="minorHAnsi"/>
          <w:b/>
          <w:color w:val="000000"/>
          <w:szCs w:val="24"/>
        </w:rPr>
        <w:t>ealth Education England</w:t>
      </w:r>
    </w:p>
    <w:p w:rsidR="00290060" w:rsidRPr="005448CA" w:rsidRDefault="00290060" w:rsidP="00290060">
      <w:pPr>
        <w:autoSpaceDE w:val="0"/>
        <w:autoSpaceDN w:val="0"/>
        <w:adjustRightInd w:val="0"/>
        <w:spacing w:after="120"/>
        <w:rPr>
          <w:rFonts w:cstheme="minorHAnsi"/>
          <w:color w:val="000000"/>
          <w:szCs w:val="24"/>
        </w:rPr>
      </w:pPr>
      <w:r w:rsidRPr="005448CA">
        <w:rPr>
          <w:rFonts w:cstheme="minorHAnsi"/>
          <w:color w:val="000000"/>
          <w:szCs w:val="24"/>
        </w:rPr>
        <w:t>Directors of Education and Quality</w:t>
      </w:r>
      <w:r w:rsidR="008805FE">
        <w:rPr>
          <w:rFonts w:cstheme="minorHAnsi"/>
          <w:color w:val="000000"/>
          <w:szCs w:val="24"/>
        </w:rPr>
        <w:t xml:space="preserve"> (DEQ)</w:t>
      </w:r>
      <w:r w:rsidRPr="005448CA">
        <w:rPr>
          <w:rFonts w:cstheme="minorHAnsi"/>
          <w:color w:val="000000"/>
          <w:szCs w:val="24"/>
        </w:rPr>
        <w:t xml:space="preserve"> in Health Education England</w:t>
      </w:r>
      <w:r w:rsidR="008805FE">
        <w:rPr>
          <w:rFonts w:cstheme="minorHAnsi"/>
          <w:color w:val="000000"/>
          <w:szCs w:val="24"/>
        </w:rPr>
        <w:t xml:space="preserve"> (HEE)</w:t>
      </w:r>
      <w:r w:rsidRPr="005448CA">
        <w:rPr>
          <w:rFonts w:cstheme="minorHAnsi"/>
          <w:color w:val="000000"/>
          <w:szCs w:val="24"/>
        </w:rPr>
        <w:t xml:space="preserve"> and its Local Education and Training Boards are responsible for the quality of the education and training provided to medical, nursing, dental and Allied Health Professionals (AHP) students and others, and training grade doctors. These students may be involved in serious incidents and HEE have a duty of care to them. Also they are an excellent source of feedback on the standard of patient care experienced in their placement. </w:t>
      </w:r>
    </w:p>
    <w:p w:rsidR="00290060" w:rsidRPr="005448CA" w:rsidRDefault="00290060" w:rsidP="00290060">
      <w:pPr>
        <w:autoSpaceDE w:val="0"/>
        <w:autoSpaceDN w:val="0"/>
        <w:adjustRightInd w:val="0"/>
        <w:spacing w:after="120"/>
        <w:rPr>
          <w:rFonts w:cstheme="minorHAnsi"/>
          <w:color w:val="000000"/>
          <w:szCs w:val="24"/>
        </w:rPr>
      </w:pPr>
      <w:r w:rsidRPr="005448CA">
        <w:rPr>
          <w:rFonts w:cstheme="minorHAnsi"/>
          <w:color w:val="000000"/>
          <w:szCs w:val="24"/>
        </w:rPr>
        <w:t>HEE DEQ</w:t>
      </w:r>
      <w:r w:rsidR="006C1436">
        <w:rPr>
          <w:rFonts w:cstheme="minorHAnsi"/>
          <w:color w:val="000000"/>
          <w:szCs w:val="24"/>
        </w:rPr>
        <w:t>s</w:t>
      </w:r>
      <w:r w:rsidRPr="005448CA">
        <w:rPr>
          <w:rFonts w:cstheme="minorHAnsi"/>
          <w:color w:val="000000"/>
          <w:szCs w:val="24"/>
        </w:rPr>
        <w:t xml:space="preserve"> should therefore be informed about serious incidents where trainees are involved. The provider should ensure that the responsible DEQ is made aware of the incident as soon as possible. This does not</w:t>
      </w:r>
      <w:r w:rsidR="006C1436">
        <w:rPr>
          <w:rFonts w:cstheme="minorHAnsi"/>
          <w:color w:val="000000"/>
          <w:szCs w:val="24"/>
        </w:rPr>
        <w:t>,</w:t>
      </w:r>
      <w:r w:rsidRPr="005448CA">
        <w:rPr>
          <w:rFonts w:cstheme="minorHAnsi"/>
          <w:color w:val="000000"/>
          <w:szCs w:val="24"/>
        </w:rPr>
        <w:t xml:space="preserve"> however, alter the serious incident management process which should be undertaken in line with national serious incident </w:t>
      </w:r>
      <w:r w:rsidR="005A7486">
        <w:rPr>
          <w:rFonts w:cstheme="minorHAnsi"/>
          <w:color w:val="000000"/>
          <w:szCs w:val="24"/>
        </w:rPr>
        <w:t>Framework</w:t>
      </w:r>
      <w:r w:rsidRPr="005448CA">
        <w:rPr>
          <w:rFonts w:cstheme="minorHAnsi"/>
          <w:color w:val="000000"/>
          <w:szCs w:val="24"/>
        </w:rPr>
        <w:t xml:space="preserve">. </w:t>
      </w:r>
    </w:p>
    <w:p w:rsidR="00290060" w:rsidRPr="00AE6324" w:rsidRDefault="00290060" w:rsidP="00290060">
      <w:pPr>
        <w:autoSpaceDE w:val="0"/>
        <w:autoSpaceDN w:val="0"/>
        <w:adjustRightInd w:val="0"/>
        <w:spacing w:after="120"/>
        <w:rPr>
          <w:rFonts w:cstheme="minorHAnsi"/>
          <w:color w:val="000000"/>
          <w:szCs w:val="24"/>
        </w:rPr>
      </w:pPr>
      <w:r w:rsidRPr="005448CA">
        <w:rPr>
          <w:rFonts w:cstheme="minorHAnsi"/>
          <w:color w:val="000000"/>
          <w:szCs w:val="24"/>
        </w:rPr>
        <w:t xml:space="preserve">Care must be taken to ensure all parties understand that notification </w:t>
      </w:r>
      <w:r w:rsidR="00FA5223">
        <w:rPr>
          <w:rFonts w:cstheme="minorHAnsi"/>
          <w:color w:val="000000"/>
          <w:szCs w:val="24"/>
        </w:rPr>
        <w:t>of</w:t>
      </w:r>
      <w:r w:rsidRPr="005448CA">
        <w:rPr>
          <w:rFonts w:cstheme="minorHAnsi"/>
          <w:color w:val="000000"/>
          <w:szCs w:val="24"/>
        </w:rPr>
        <w:t xml:space="preserve"> serious incidents involving trainees is focussed on supporting those trainees and ensuring the standards of training are appropriate. It is very rare that serious incidents are the result of individ</w:t>
      </w:r>
      <w:r w:rsidR="00FA5223">
        <w:rPr>
          <w:rFonts w:cstheme="minorHAnsi"/>
          <w:color w:val="000000"/>
          <w:szCs w:val="24"/>
        </w:rPr>
        <w:t>ual failings and notifications sent to</w:t>
      </w:r>
      <w:r w:rsidRPr="005448CA">
        <w:rPr>
          <w:rFonts w:cstheme="minorHAnsi"/>
          <w:color w:val="000000"/>
          <w:szCs w:val="24"/>
        </w:rPr>
        <w:t xml:space="preserve"> DEQs </w:t>
      </w:r>
      <w:r w:rsidR="00FA5223">
        <w:rPr>
          <w:rFonts w:cstheme="minorHAnsi"/>
          <w:color w:val="000000"/>
          <w:szCs w:val="24"/>
        </w:rPr>
        <w:t xml:space="preserve">are </w:t>
      </w:r>
      <w:r w:rsidRPr="005448CA">
        <w:rPr>
          <w:rFonts w:cstheme="minorHAnsi"/>
          <w:color w:val="000000"/>
          <w:szCs w:val="24"/>
        </w:rPr>
        <w:t>not intended as a comment or judgement</w:t>
      </w:r>
      <w:r>
        <w:rPr>
          <w:rFonts w:cstheme="minorHAnsi"/>
          <w:color w:val="000000"/>
          <w:szCs w:val="24"/>
        </w:rPr>
        <w:t xml:space="preserve"> on the capability of trainees.</w:t>
      </w:r>
    </w:p>
    <w:p w:rsidR="00290060" w:rsidRDefault="00290060" w:rsidP="00290060">
      <w:pPr>
        <w:autoSpaceDE w:val="0"/>
        <w:autoSpaceDN w:val="0"/>
        <w:adjustRightInd w:val="0"/>
        <w:spacing w:after="120"/>
        <w:rPr>
          <w:rFonts w:cstheme="minorHAnsi"/>
          <w:b/>
          <w:color w:val="000000"/>
          <w:szCs w:val="24"/>
        </w:rPr>
      </w:pPr>
    </w:p>
    <w:p w:rsidR="00290060" w:rsidRPr="00AE6324" w:rsidRDefault="00290060" w:rsidP="00290060">
      <w:pPr>
        <w:autoSpaceDE w:val="0"/>
        <w:autoSpaceDN w:val="0"/>
        <w:adjustRightInd w:val="0"/>
        <w:spacing w:after="120"/>
        <w:rPr>
          <w:rFonts w:cstheme="minorHAnsi"/>
          <w:b/>
          <w:color w:val="000000"/>
          <w:szCs w:val="24"/>
        </w:rPr>
      </w:pPr>
      <w:r>
        <w:rPr>
          <w:rFonts w:cstheme="minorHAnsi"/>
          <w:b/>
          <w:color w:val="000000"/>
          <w:szCs w:val="24"/>
        </w:rPr>
        <w:t>I</w:t>
      </w:r>
      <w:r w:rsidRPr="00B0681A">
        <w:rPr>
          <w:rFonts w:cstheme="minorHAnsi"/>
          <w:b/>
          <w:color w:val="000000"/>
          <w:szCs w:val="24"/>
        </w:rPr>
        <w:t>nformation governance</w:t>
      </w:r>
      <w:r>
        <w:rPr>
          <w:rFonts w:cstheme="minorHAnsi"/>
          <w:b/>
          <w:color w:val="000000"/>
          <w:szCs w:val="24"/>
        </w:rPr>
        <w:t xml:space="preserve"> serious incidents, </w:t>
      </w:r>
      <w:r w:rsidRPr="00AE6324">
        <w:rPr>
          <w:rFonts w:cstheme="minorHAnsi"/>
          <w:b/>
          <w:color w:val="000000"/>
          <w:szCs w:val="24"/>
        </w:rPr>
        <w:t xml:space="preserve">Caldicott </w:t>
      </w:r>
      <w:r w:rsidRPr="007E47A8">
        <w:rPr>
          <w:rFonts w:cstheme="minorHAnsi"/>
          <w:b/>
          <w:color w:val="000000"/>
          <w:szCs w:val="24"/>
        </w:rPr>
        <w:t>and</w:t>
      </w:r>
      <w:r w:rsidRPr="00820CF3">
        <w:rPr>
          <w:rFonts w:cstheme="minorHAnsi"/>
          <w:b/>
          <w:color w:val="000000"/>
          <w:szCs w:val="24"/>
        </w:rPr>
        <w:t xml:space="preserve"> </w:t>
      </w:r>
      <w:r w:rsidRPr="00AE6324">
        <w:rPr>
          <w:rFonts w:cstheme="minorHAnsi"/>
          <w:b/>
          <w:color w:val="000000"/>
          <w:szCs w:val="24"/>
        </w:rPr>
        <w:t>data protection</w:t>
      </w:r>
    </w:p>
    <w:p w:rsidR="00290060" w:rsidRPr="00AE6324" w:rsidRDefault="00290060" w:rsidP="00290060">
      <w:pPr>
        <w:autoSpaceDE w:val="0"/>
        <w:autoSpaceDN w:val="0"/>
        <w:adjustRightInd w:val="0"/>
        <w:spacing w:after="120"/>
        <w:rPr>
          <w:rFonts w:cstheme="minorHAnsi"/>
          <w:color w:val="000000"/>
          <w:szCs w:val="24"/>
        </w:rPr>
      </w:pPr>
      <w:r w:rsidRPr="00AE6324">
        <w:rPr>
          <w:rFonts w:cstheme="minorHAnsi"/>
          <w:color w:val="000000"/>
          <w:szCs w:val="24"/>
        </w:rPr>
        <w:t xml:space="preserve">When reporting serious incidents, providers must comply with Caldicott, data protection and information governance requirements. Where incidents relate to information governance (IG) issues they should be reported within the IG toolkit, in line with the Health and Social Care Information Centre guidance HSCIC Checklist </w:t>
      </w:r>
      <w:r w:rsidRPr="00AE6324">
        <w:rPr>
          <w:rFonts w:cstheme="minorHAnsi"/>
          <w:color w:val="000000"/>
          <w:szCs w:val="24"/>
        </w:rPr>
        <w:lastRenderedPageBreak/>
        <w:t>Guidance for Reporting, Managing and Investigating Information Governance Serious Incidents Requiring Investigation</w:t>
      </w:r>
      <w:r w:rsidR="0007798B">
        <w:rPr>
          <w:rFonts w:cstheme="minorHAnsi"/>
          <w:color w:val="000000"/>
          <w:szCs w:val="24"/>
        </w:rPr>
        <w:t xml:space="preserve"> and subsequent guidance</w:t>
      </w:r>
      <w:r w:rsidRPr="00AE6324">
        <w:rPr>
          <w:rStyle w:val="EndnoteReference"/>
          <w:rFonts w:eastAsiaTheme="majorEastAsia" w:cstheme="minorHAnsi"/>
          <w:color w:val="000000"/>
          <w:szCs w:val="24"/>
        </w:rPr>
        <w:endnoteReference w:id="9"/>
      </w:r>
      <w:r w:rsidR="009C5131">
        <w:rPr>
          <w:rFonts w:cstheme="minorHAnsi"/>
          <w:color w:val="000000"/>
          <w:szCs w:val="24"/>
        </w:rPr>
        <w:t>.</w:t>
      </w:r>
    </w:p>
    <w:p w:rsidR="00290060" w:rsidRPr="00AE6324" w:rsidRDefault="00290060" w:rsidP="00290060">
      <w:pPr>
        <w:autoSpaceDE w:val="0"/>
        <w:autoSpaceDN w:val="0"/>
        <w:adjustRightInd w:val="0"/>
        <w:spacing w:after="120"/>
        <w:rPr>
          <w:rFonts w:cstheme="minorHAnsi"/>
          <w:color w:val="000000"/>
          <w:szCs w:val="24"/>
        </w:rPr>
      </w:pPr>
      <w:r w:rsidRPr="00AE6324">
        <w:rPr>
          <w:rFonts w:cstheme="minorHAnsi"/>
          <w:color w:val="000000"/>
          <w:szCs w:val="24"/>
        </w:rPr>
        <w:t>The severity of the incident must be assessed using the scale and severity factors outlined within the HSCIC guidance. All incidents which reach the threshold for a level 2 IG related serious in</w:t>
      </w:r>
      <w:r w:rsidR="008617BE">
        <w:rPr>
          <w:rFonts w:cstheme="minorHAnsi"/>
          <w:color w:val="000000"/>
          <w:szCs w:val="24"/>
        </w:rPr>
        <w:t>cidents</w:t>
      </w:r>
      <w:r w:rsidR="0051790F">
        <w:rPr>
          <w:rFonts w:cstheme="minorHAnsi"/>
          <w:color w:val="000000"/>
          <w:szCs w:val="24"/>
        </w:rPr>
        <w:t xml:space="preserve"> are reported </w:t>
      </w:r>
      <w:r w:rsidR="00770B1B">
        <w:rPr>
          <w:rFonts w:cstheme="minorHAnsi"/>
          <w:color w:val="000000"/>
          <w:szCs w:val="24"/>
        </w:rPr>
        <w:t>publicly</w:t>
      </w:r>
      <w:r w:rsidR="0051790F">
        <w:rPr>
          <w:rFonts w:cstheme="minorHAnsi"/>
          <w:color w:val="000000"/>
          <w:szCs w:val="24"/>
        </w:rPr>
        <w:t xml:space="preserve"> via the IG toolkit and</w:t>
      </w:r>
      <w:r w:rsidR="008617BE">
        <w:rPr>
          <w:rFonts w:cstheme="minorHAnsi"/>
          <w:color w:val="000000"/>
          <w:szCs w:val="24"/>
        </w:rPr>
        <w:t xml:space="preserve"> should</w:t>
      </w:r>
      <w:r w:rsidRPr="00AE6324">
        <w:rPr>
          <w:rFonts w:cstheme="minorHAnsi"/>
          <w:color w:val="000000"/>
          <w:szCs w:val="24"/>
        </w:rPr>
        <w:t xml:space="preserve"> be reported</w:t>
      </w:r>
      <w:r>
        <w:rPr>
          <w:rFonts w:cstheme="minorHAnsi"/>
          <w:color w:val="000000"/>
          <w:szCs w:val="24"/>
        </w:rPr>
        <w:t xml:space="preserve"> </w:t>
      </w:r>
      <w:r w:rsidR="0051790F">
        <w:rPr>
          <w:rFonts w:cstheme="minorHAnsi"/>
          <w:color w:val="000000"/>
          <w:szCs w:val="24"/>
        </w:rPr>
        <w:t xml:space="preserve">and investigated </w:t>
      </w:r>
      <w:r w:rsidR="00853196">
        <w:rPr>
          <w:rFonts w:cstheme="minorHAnsi"/>
          <w:color w:val="000000"/>
          <w:szCs w:val="24"/>
        </w:rPr>
        <w:t xml:space="preserve">as </w:t>
      </w:r>
      <w:r>
        <w:rPr>
          <w:rFonts w:cstheme="minorHAnsi"/>
          <w:color w:val="000000"/>
          <w:szCs w:val="24"/>
        </w:rPr>
        <w:t>serious incidents</w:t>
      </w:r>
      <w:r w:rsidR="0051790F">
        <w:rPr>
          <w:rFonts w:cstheme="minorHAnsi"/>
          <w:color w:val="000000"/>
          <w:szCs w:val="24"/>
        </w:rPr>
        <w:t xml:space="preserve"> under this </w:t>
      </w:r>
      <w:r w:rsidR="005A7486">
        <w:rPr>
          <w:rFonts w:cstheme="minorHAnsi"/>
          <w:color w:val="000000"/>
          <w:szCs w:val="24"/>
        </w:rPr>
        <w:t>Framework</w:t>
      </w:r>
      <w:r w:rsidR="0051790F">
        <w:rPr>
          <w:rFonts w:cstheme="minorHAnsi"/>
          <w:color w:val="000000"/>
          <w:szCs w:val="24"/>
        </w:rPr>
        <w:t xml:space="preserve">. Serious </w:t>
      </w:r>
      <w:r w:rsidR="009C5131">
        <w:rPr>
          <w:rFonts w:cstheme="minorHAnsi"/>
          <w:color w:val="000000"/>
          <w:szCs w:val="24"/>
        </w:rPr>
        <w:t xml:space="preserve">incidents </w:t>
      </w:r>
      <w:r w:rsidR="0051790F">
        <w:rPr>
          <w:rFonts w:cstheme="minorHAnsi"/>
          <w:color w:val="000000"/>
          <w:szCs w:val="24"/>
        </w:rPr>
        <w:t>relating to information governance have to be</w:t>
      </w:r>
      <w:r>
        <w:rPr>
          <w:rFonts w:cstheme="minorHAnsi"/>
          <w:color w:val="000000"/>
          <w:szCs w:val="24"/>
        </w:rPr>
        <w:t xml:space="preserve"> reported on the NHS serious incident management system, </w:t>
      </w:r>
      <w:r w:rsidRPr="00AE6324">
        <w:rPr>
          <w:rFonts w:cstheme="minorHAnsi"/>
          <w:color w:val="000000"/>
          <w:szCs w:val="24"/>
        </w:rPr>
        <w:t>STEIS</w:t>
      </w:r>
      <w:r>
        <w:rPr>
          <w:rFonts w:cstheme="minorHAnsi"/>
          <w:color w:val="000000"/>
          <w:szCs w:val="24"/>
        </w:rPr>
        <w:t xml:space="preserve"> or its successor,</w:t>
      </w:r>
      <w:r w:rsidRPr="00AE6324">
        <w:rPr>
          <w:rFonts w:cstheme="minorHAnsi"/>
          <w:color w:val="000000"/>
          <w:szCs w:val="24"/>
        </w:rPr>
        <w:t xml:space="preserve"> as well as the IG toolkit. </w:t>
      </w:r>
    </w:p>
    <w:p w:rsidR="00290060" w:rsidRPr="00AE6324" w:rsidRDefault="00290060" w:rsidP="00290060">
      <w:pPr>
        <w:autoSpaceDE w:val="0"/>
        <w:autoSpaceDN w:val="0"/>
        <w:adjustRightInd w:val="0"/>
        <w:spacing w:after="120"/>
        <w:rPr>
          <w:rFonts w:cstheme="minorHAnsi"/>
          <w:color w:val="000000"/>
          <w:szCs w:val="24"/>
        </w:rPr>
      </w:pPr>
      <w:r w:rsidRPr="00AE6324">
        <w:rPr>
          <w:rFonts w:cstheme="minorHAnsi"/>
          <w:color w:val="000000"/>
          <w:szCs w:val="24"/>
        </w:rPr>
        <w:t>Organisations must be registered to access th</w:t>
      </w:r>
      <w:r>
        <w:rPr>
          <w:rFonts w:cstheme="minorHAnsi"/>
          <w:color w:val="000000"/>
          <w:szCs w:val="24"/>
        </w:rPr>
        <w:t>e HSCIC IG</w:t>
      </w:r>
      <w:r w:rsidRPr="00AE6324">
        <w:rPr>
          <w:rFonts w:cstheme="minorHAnsi"/>
          <w:color w:val="000000"/>
          <w:szCs w:val="24"/>
        </w:rPr>
        <w:t xml:space="preserve"> toolkit. Login details will be provided when the organisation undertakes the initial IG assessment which is a dual functionality of the toolkit and provides NHS organisations with a means of self-assessing performance against key aspects of information governance. For further information relating to the assessment and reporting process please refer to the HSCIC guidance or contact your regional information governance lead.  </w:t>
      </w:r>
    </w:p>
    <w:p w:rsidR="00290060" w:rsidRPr="00CD6870" w:rsidRDefault="00290060" w:rsidP="00290060">
      <w:pPr>
        <w:autoSpaceDE w:val="0"/>
        <w:autoSpaceDN w:val="0"/>
        <w:adjustRightInd w:val="0"/>
        <w:spacing w:after="120"/>
        <w:rPr>
          <w:rFonts w:cstheme="minorHAnsi"/>
          <w:color w:val="000000"/>
          <w:szCs w:val="24"/>
        </w:rPr>
      </w:pPr>
      <w:r w:rsidRPr="00AE6324">
        <w:rPr>
          <w:rFonts w:cstheme="minorHAnsi"/>
          <w:color w:val="000000"/>
          <w:szCs w:val="24"/>
        </w:rPr>
        <w:t>Organisations must be aware that the information reported to the IG toolkit will be published within the public domain. Consequently, the transfer of STEIS reports to the IG toolkit is not recommended unless the content has been approved for publication and a separate report is typically required. It is acknowledged that reporting to both the IG toolkit and STEIS represents duplication of reporting, however the IG toolkit does not</w:t>
      </w:r>
      <w:r w:rsidR="0007798B">
        <w:rPr>
          <w:rFonts w:cstheme="minorHAnsi"/>
          <w:color w:val="000000"/>
          <w:szCs w:val="24"/>
        </w:rPr>
        <w:t xml:space="preserve"> currently</w:t>
      </w:r>
      <w:r w:rsidRPr="00AE6324">
        <w:rPr>
          <w:rFonts w:cstheme="minorHAnsi"/>
          <w:color w:val="000000"/>
          <w:szCs w:val="24"/>
        </w:rPr>
        <w:t xml:space="preserve"> provide a mechanism for informing relevant commissioners of IG serious incidents and so STEIS reporting is required to ens</w:t>
      </w:r>
      <w:r>
        <w:rPr>
          <w:rFonts w:cstheme="minorHAnsi"/>
          <w:color w:val="000000"/>
          <w:szCs w:val="24"/>
        </w:rPr>
        <w:t>ure that information is shared.</w:t>
      </w:r>
    </w:p>
    <w:p w:rsidR="00A529D2" w:rsidRDefault="00A529D2" w:rsidP="006E463C">
      <w:pPr>
        <w:autoSpaceDE w:val="0"/>
        <w:autoSpaceDN w:val="0"/>
        <w:adjustRightInd w:val="0"/>
        <w:spacing w:after="120"/>
        <w:rPr>
          <w:rFonts w:cstheme="minorHAnsi"/>
          <w:b/>
          <w:szCs w:val="24"/>
        </w:rPr>
      </w:pPr>
    </w:p>
    <w:p w:rsidR="006E463C" w:rsidRPr="006E463C" w:rsidRDefault="006E463C" w:rsidP="006E463C">
      <w:pPr>
        <w:autoSpaceDE w:val="0"/>
        <w:autoSpaceDN w:val="0"/>
        <w:adjustRightInd w:val="0"/>
        <w:spacing w:after="120"/>
        <w:rPr>
          <w:rFonts w:cstheme="minorHAnsi"/>
          <w:b/>
          <w:szCs w:val="24"/>
        </w:rPr>
      </w:pPr>
      <w:r w:rsidRPr="006E463C">
        <w:rPr>
          <w:rFonts w:cstheme="minorHAnsi"/>
          <w:b/>
          <w:szCs w:val="24"/>
        </w:rPr>
        <w:t>Local Authorities</w:t>
      </w:r>
    </w:p>
    <w:p w:rsidR="006E463C" w:rsidRDefault="006E463C" w:rsidP="006E463C">
      <w:pPr>
        <w:autoSpaceDE w:val="0"/>
        <w:autoSpaceDN w:val="0"/>
        <w:adjustRightInd w:val="0"/>
        <w:spacing w:after="120"/>
        <w:rPr>
          <w:rFonts w:cstheme="minorHAnsi"/>
          <w:szCs w:val="24"/>
        </w:rPr>
      </w:pPr>
      <w:r w:rsidRPr="006E463C">
        <w:rPr>
          <w:rFonts w:cstheme="minorHAnsi"/>
          <w:szCs w:val="24"/>
        </w:rPr>
        <w:t xml:space="preserve">Local authorities are responsible for commissioning specific public health services including health protection, health improvement and population healthcare. Responsibility for the quality of care being provided is recognised by the governance arrangements within the local authority. Local Authority commissioners must use their interactions with health care providers and commissioners to identify any actual or potential quality problems. </w:t>
      </w:r>
    </w:p>
    <w:p w:rsidR="006E463C" w:rsidRDefault="006E463C" w:rsidP="006E463C">
      <w:pPr>
        <w:autoSpaceDE w:val="0"/>
        <w:autoSpaceDN w:val="0"/>
        <w:adjustRightInd w:val="0"/>
        <w:spacing w:after="120"/>
        <w:rPr>
          <w:rFonts w:cstheme="minorHAnsi"/>
          <w:szCs w:val="24"/>
        </w:rPr>
      </w:pPr>
      <w:r w:rsidRPr="006E463C">
        <w:rPr>
          <w:rFonts w:cstheme="minorHAnsi"/>
          <w:szCs w:val="24"/>
        </w:rPr>
        <w:t xml:space="preserve">As part of the local Quality Surveillance Groups, Local Authorities will share information and intelligence and learning in relation to serious incidents. Health and Wellbeing Boards also provide a link to the Local Authorities’ quality agenda where intelligence should be shared to inform local leadership for quality improvement. </w:t>
      </w:r>
    </w:p>
    <w:p w:rsidR="006E463C" w:rsidRDefault="006E463C" w:rsidP="006E463C">
      <w:pPr>
        <w:autoSpaceDE w:val="0"/>
        <w:autoSpaceDN w:val="0"/>
        <w:adjustRightInd w:val="0"/>
        <w:spacing w:after="120"/>
      </w:pPr>
      <w:r w:rsidRPr="006E463C">
        <w:rPr>
          <w:rFonts w:cstheme="minorHAnsi"/>
          <w:szCs w:val="24"/>
        </w:rPr>
        <w:t>Local Authorities also have a particular role to play in safeguarding adults and children and young people in vulnerable circumstances. Providers and commissioners must ensure that information about abuse or potential abuse is shared with Local Authority safeguarding teams</w:t>
      </w:r>
      <w:r>
        <w:rPr>
          <w:rFonts w:cstheme="minorHAnsi"/>
          <w:szCs w:val="24"/>
        </w:rPr>
        <w:t>.</w:t>
      </w:r>
      <w:r w:rsidRPr="006E463C">
        <w:t xml:space="preserve"> </w:t>
      </w:r>
    </w:p>
    <w:p w:rsidR="00290060" w:rsidRDefault="006E463C" w:rsidP="006E463C">
      <w:pPr>
        <w:autoSpaceDE w:val="0"/>
        <w:autoSpaceDN w:val="0"/>
        <w:adjustRightInd w:val="0"/>
        <w:spacing w:after="120"/>
        <w:rPr>
          <w:rFonts w:cstheme="minorHAnsi"/>
          <w:szCs w:val="24"/>
        </w:rPr>
      </w:pPr>
      <w:r w:rsidRPr="006E463C">
        <w:rPr>
          <w:rFonts w:cstheme="minorHAnsi"/>
          <w:szCs w:val="24"/>
        </w:rPr>
        <w:t>The interface between the serious incident process and local safeguarding procedures must therefore be articulated in the local multi-agency safeguarding protocol and policies. Providers and commissioners must liaise regularly with the local authority safeguarding lead to ensure that there is a coherent multi-agency approach to investigating safeguarding concerns, which is agreed by relevant partners.</w:t>
      </w:r>
    </w:p>
    <w:p w:rsidR="006E463C" w:rsidRDefault="006E463C" w:rsidP="00290060">
      <w:pPr>
        <w:autoSpaceDE w:val="0"/>
        <w:autoSpaceDN w:val="0"/>
        <w:adjustRightInd w:val="0"/>
        <w:spacing w:after="120"/>
        <w:rPr>
          <w:rFonts w:cstheme="minorHAnsi"/>
          <w:b/>
          <w:szCs w:val="24"/>
        </w:rPr>
      </w:pPr>
    </w:p>
    <w:p w:rsidR="00290060" w:rsidRDefault="00290060" w:rsidP="00290060">
      <w:pPr>
        <w:autoSpaceDE w:val="0"/>
        <w:autoSpaceDN w:val="0"/>
        <w:adjustRightInd w:val="0"/>
        <w:spacing w:after="120"/>
        <w:rPr>
          <w:rFonts w:cstheme="minorHAnsi"/>
          <w:b/>
          <w:szCs w:val="24"/>
        </w:rPr>
      </w:pPr>
      <w:r w:rsidRPr="005448CA">
        <w:rPr>
          <w:rFonts w:cstheme="minorHAnsi"/>
          <w:b/>
          <w:szCs w:val="24"/>
        </w:rPr>
        <w:t>Medicines and Healthcare products Regulatory Agency (MHRA)</w:t>
      </w:r>
    </w:p>
    <w:p w:rsidR="00344881" w:rsidRDefault="00344881" w:rsidP="00344881">
      <w:r w:rsidRPr="00344881">
        <w:lastRenderedPageBreak/>
        <w:t>Organisation</w:t>
      </w:r>
      <w:r w:rsidR="001A7CC0">
        <w:t>s</w:t>
      </w:r>
      <w:r w:rsidRPr="00344881">
        <w:t xml:space="preserve"> should report suspected problems (‘adverse incident</w:t>
      </w:r>
      <w:r w:rsidR="001A7CC0">
        <w:t>s</w:t>
      </w:r>
      <w:r w:rsidRPr="00344881">
        <w:t>’) with a medicine or medical device</w:t>
      </w:r>
      <w:r>
        <w:t xml:space="preserve"> to the MHRA</w:t>
      </w:r>
      <w:r w:rsidRPr="00344881">
        <w:t xml:space="preserve"> using the Yellow Card Scheme as soon as possible if:</w:t>
      </w:r>
    </w:p>
    <w:p w:rsidR="00344881" w:rsidRPr="00344881" w:rsidRDefault="00344881" w:rsidP="00344881"/>
    <w:p w:rsidR="00344881" w:rsidRPr="00344881" w:rsidRDefault="0006294F" w:rsidP="0072371B">
      <w:pPr>
        <w:pStyle w:val="ListParagraph"/>
        <w:numPr>
          <w:ilvl w:val="0"/>
          <w:numId w:val="70"/>
        </w:numPr>
        <w:contextualSpacing w:val="0"/>
      </w:pPr>
      <w:r>
        <w:t>A</w:t>
      </w:r>
      <w:r w:rsidR="00344881" w:rsidRPr="00344881">
        <w:t xml:space="preserve"> medicine causes side effects</w:t>
      </w:r>
    </w:p>
    <w:p w:rsidR="00344881" w:rsidRPr="00344881" w:rsidRDefault="0006294F" w:rsidP="0072371B">
      <w:pPr>
        <w:pStyle w:val="ListParagraph"/>
        <w:numPr>
          <w:ilvl w:val="0"/>
          <w:numId w:val="70"/>
        </w:numPr>
        <w:contextualSpacing w:val="0"/>
      </w:pPr>
      <w:r>
        <w:t>S</w:t>
      </w:r>
      <w:r w:rsidR="00344881" w:rsidRPr="00344881">
        <w:t>omeone’s injured by a medical device, either because its labelling or instructions aren’t clear, it’s broken or has been misused</w:t>
      </w:r>
    </w:p>
    <w:p w:rsidR="00344881" w:rsidRPr="00344881" w:rsidRDefault="0006294F" w:rsidP="0072371B">
      <w:pPr>
        <w:pStyle w:val="ListParagraph"/>
        <w:numPr>
          <w:ilvl w:val="0"/>
          <w:numId w:val="70"/>
        </w:numPr>
        <w:contextualSpacing w:val="0"/>
      </w:pPr>
      <w:r>
        <w:t>A</w:t>
      </w:r>
      <w:r w:rsidR="00344881" w:rsidRPr="00344881">
        <w:t xml:space="preserve"> patient’s treatment is interrupted because of a faulty device </w:t>
      </w:r>
    </w:p>
    <w:p w:rsidR="00344881" w:rsidRPr="00344881" w:rsidRDefault="0006294F" w:rsidP="0072371B">
      <w:pPr>
        <w:pStyle w:val="ListParagraph"/>
        <w:numPr>
          <w:ilvl w:val="0"/>
          <w:numId w:val="70"/>
        </w:numPr>
        <w:contextualSpacing w:val="0"/>
      </w:pPr>
      <w:r>
        <w:t>S</w:t>
      </w:r>
      <w:r w:rsidR="00344881" w:rsidRPr="00344881">
        <w:t xml:space="preserve">omeone receives the wrong diagnosis because of a medical device </w:t>
      </w:r>
    </w:p>
    <w:p w:rsidR="00344881" w:rsidRPr="00344881" w:rsidRDefault="0006294F" w:rsidP="0072371B">
      <w:pPr>
        <w:pStyle w:val="ListParagraph"/>
        <w:numPr>
          <w:ilvl w:val="0"/>
          <w:numId w:val="70"/>
        </w:numPr>
        <w:contextualSpacing w:val="0"/>
      </w:pPr>
      <w:r>
        <w:t>A</w:t>
      </w:r>
      <w:r w:rsidR="00344881" w:rsidRPr="00344881">
        <w:t xml:space="preserve"> medicine doesn’t work properly</w:t>
      </w:r>
    </w:p>
    <w:p w:rsidR="00344881" w:rsidRPr="00344881" w:rsidRDefault="0006294F" w:rsidP="0072371B">
      <w:pPr>
        <w:pStyle w:val="ListParagraph"/>
        <w:numPr>
          <w:ilvl w:val="0"/>
          <w:numId w:val="70"/>
        </w:numPr>
        <w:contextualSpacing w:val="0"/>
      </w:pPr>
      <w:r>
        <w:t>A</w:t>
      </w:r>
      <w:r w:rsidR="00344881" w:rsidRPr="00344881">
        <w:t xml:space="preserve"> medicine is of a poor quality</w:t>
      </w:r>
    </w:p>
    <w:p w:rsidR="00344881" w:rsidRPr="00344881" w:rsidRDefault="0006294F" w:rsidP="0072371B">
      <w:pPr>
        <w:pStyle w:val="ListParagraph"/>
        <w:numPr>
          <w:ilvl w:val="0"/>
          <w:numId w:val="70"/>
        </w:numPr>
        <w:contextualSpacing w:val="0"/>
      </w:pPr>
      <w:r>
        <w:t>Y</w:t>
      </w:r>
      <w:r w:rsidR="00344881" w:rsidRPr="00344881">
        <w:t>ou think a medicine or medical device is fake or counterfeit</w:t>
      </w:r>
    </w:p>
    <w:p w:rsidR="00344881" w:rsidRPr="005448CA" w:rsidRDefault="00344881" w:rsidP="00290060">
      <w:pPr>
        <w:autoSpaceDE w:val="0"/>
        <w:autoSpaceDN w:val="0"/>
        <w:adjustRightInd w:val="0"/>
        <w:spacing w:after="120"/>
        <w:rPr>
          <w:rFonts w:cstheme="minorHAnsi"/>
          <w:b/>
          <w:szCs w:val="24"/>
        </w:rPr>
      </w:pPr>
    </w:p>
    <w:p w:rsidR="00290060" w:rsidRPr="00CD6870" w:rsidRDefault="00344881" w:rsidP="00290060">
      <w:pPr>
        <w:autoSpaceDE w:val="0"/>
        <w:autoSpaceDN w:val="0"/>
        <w:adjustRightInd w:val="0"/>
        <w:spacing w:after="120"/>
        <w:rPr>
          <w:rFonts w:cstheme="minorHAnsi"/>
          <w:szCs w:val="24"/>
        </w:rPr>
      </w:pPr>
      <w:r>
        <w:rPr>
          <w:rFonts w:cstheme="minorHAnsi"/>
          <w:szCs w:val="24"/>
        </w:rPr>
        <w:t>Further d</w:t>
      </w:r>
      <w:r w:rsidR="00290060" w:rsidRPr="005448CA">
        <w:rPr>
          <w:rFonts w:cstheme="minorHAnsi"/>
          <w:szCs w:val="24"/>
        </w:rPr>
        <w:t>etails are</w:t>
      </w:r>
      <w:r>
        <w:rPr>
          <w:rFonts w:cstheme="minorHAnsi"/>
          <w:szCs w:val="24"/>
        </w:rPr>
        <w:t xml:space="preserve"> available</w:t>
      </w:r>
      <w:r w:rsidR="00290060" w:rsidRPr="005448CA">
        <w:rPr>
          <w:rFonts w:cstheme="minorHAnsi"/>
          <w:szCs w:val="24"/>
        </w:rPr>
        <w:t xml:space="preserve"> at: </w:t>
      </w:r>
      <w:hyperlink r:id="rId31" w:history="1">
        <w:r w:rsidR="00290060" w:rsidRPr="005448CA">
          <w:rPr>
            <w:rFonts w:cstheme="minorHAnsi"/>
            <w:color w:val="0072C6" w:themeColor="hyperlink"/>
            <w:szCs w:val="24"/>
            <w:u w:val="single"/>
          </w:rPr>
          <w:t>http://www.mhra.gov.uk/Safetyinformation/Reportingsafetyproblems/index.htm</w:t>
        </w:r>
      </w:hyperlink>
    </w:p>
    <w:p w:rsidR="00290060" w:rsidRDefault="00290060" w:rsidP="00290060">
      <w:pPr>
        <w:autoSpaceDE w:val="0"/>
        <w:autoSpaceDN w:val="0"/>
        <w:adjustRightInd w:val="0"/>
        <w:spacing w:after="120"/>
        <w:rPr>
          <w:rFonts w:cstheme="minorHAnsi"/>
          <w:b/>
          <w:color w:val="000000"/>
          <w:szCs w:val="24"/>
        </w:rPr>
      </w:pPr>
    </w:p>
    <w:p w:rsidR="00290060" w:rsidRPr="005448CA" w:rsidRDefault="00290060" w:rsidP="00290060">
      <w:pPr>
        <w:autoSpaceDE w:val="0"/>
        <w:autoSpaceDN w:val="0"/>
        <w:adjustRightInd w:val="0"/>
        <w:spacing w:after="120"/>
        <w:rPr>
          <w:rFonts w:cstheme="minorHAnsi"/>
          <w:b/>
          <w:color w:val="000000"/>
          <w:szCs w:val="24"/>
        </w:rPr>
      </w:pPr>
      <w:r w:rsidRPr="005448CA">
        <w:rPr>
          <w:rFonts w:cstheme="minorHAnsi"/>
          <w:b/>
          <w:color w:val="000000"/>
          <w:szCs w:val="24"/>
        </w:rPr>
        <w:t>Monitor</w:t>
      </w:r>
    </w:p>
    <w:p w:rsidR="00290060" w:rsidRPr="00CD6870" w:rsidRDefault="00290060" w:rsidP="00290060">
      <w:pPr>
        <w:autoSpaceDE w:val="0"/>
        <w:autoSpaceDN w:val="0"/>
        <w:adjustRightInd w:val="0"/>
        <w:spacing w:after="120"/>
        <w:rPr>
          <w:rFonts w:cstheme="minorHAnsi"/>
          <w:color w:val="000000"/>
          <w:szCs w:val="24"/>
        </w:rPr>
      </w:pPr>
      <w:r w:rsidRPr="005448CA">
        <w:rPr>
          <w:rFonts w:cstheme="minorHAnsi"/>
          <w:color w:val="000000"/>
          <w:szCs w:val="24"/>
        </w:rPr>
        <w:t>NHS Foundation Trusts are required</w:t>
      </w:r>
      <w:r w:rsidR="009A1067">
        <w:rPr>
          <w:rFonts w:cstheme="minorHAnsi"/>
          <w:color w:val="000000"/>
          <w:szCs w:val="24"/>
        </w:rPr>
        <w:t xml:space="preserve"> to</w:t>
      </w:r>
      <w:r w:rsidRPr="005448CA">
        <w:rPr>
          <w:rFonts w:cstheme="minorHAnsi"/>
          <w:color w:val="000000"/>
          <w:szCs w:val="24"/>
        </w:rPr>
        <w:t xml:space="preserve"> inform Monitor about relevant serious incidents (i.e. any incidents which may reasonably be regarded as raising potential concerns over compliance with their lic</w:t>
      </w:r>
      <w:r>
        <w:rPr>
          <w:rFonts w:cstheme="minorHAnsi"/>
          <w:color w:val="000000"/>
          <w:szCs w:val="24"/>
        </w:rPr>
        <w:t xml:space="preserve">ence) requiring investigation. </w:t>
      </w:r>
    </w:p>
    <w:p w:rsidR="00A529D2" w:rsidRDefault="00A529D2" w:rsidP="00290060">
      <w:pPr>
        <w:autoSpaceDE w:val="0"/>
        <w:autoSpaceDN w:val="0"/>
        <w:adjustRightInd w:val="0"/>
        <w:spacing w:after="120"/>
        <w:rPr>
          <w:rFonts w:cstheme="minorHAnsi"/>
          <w:b/>
          <w:szCs w:val="24"/>
        </w:rPr>
      </w:pPr>
    </w:p>
    <w:p w:rsidR="00290060" w:rsidRPr="005448CA" w:rsidRDefault="00290060" w:rsidP="00290060">
      <w:pPr>
        <w:autoSpaceDE w:val="0"/>
        <w:autoSpaceDN w:val="0"/>
        <w:adjustRightInd w:val="0"/>
        <w:spacing w:after="120"/>
        <w:rPr>
          <w:rFonts w:cstheme="minorHAnsi"/>
          <w:b/>
          <w:szCs w:val="24"/>
        </w:rPr>
      </w:pPr>
      <w:r w:rsidRPr="005448CA">
        <w:rPr>
          <w:rFonts w:cstheme="minorHAnsi"/>
          <w:b/>
          <w:szCs w:val="24"/>
        </w:rPr>
        <w:t>NHS Protect</w:t>
      </w:r>
    </w:p>
    <w:p w:rsidR="00FA5223" w:rsidRPr="00FA5223" w:rsidRDefault="00FA5223" w:rsidP="00FA5223">
      <w:pPr>
        <w:autoSpaceDE w:val="0"/>
        <w:autoSpaceDN w:val="0"/>
        <w:adjustRightInd w:val="0"/>
        <w:spacing w:after="120"/>
        <w:rPr>
          <w:rFonts w:cstheme="minorHAnsi"/>
          <w:szCs w:val="24"/>
        </w:rPr>
      </w:pPr>
      <w:r w:rsidRPr="00FA5223">
        <w:rPr>
          <w:rFonts w:cstheme="minorHAnsi"/>
          <w:szCs w:val="24"/>
        </w:rPr>
        <w:t xml:space="preserve">NHS </w:t>
      </w:r>
      <w:r w:rsidR="0006294F">
        <w:rPr>
          <w:rFonts w:cstheme="minorHAnsi"/>
          <w:szCs w:val="24"/>
        </w:rPr>
        <w:t>P</w:t>
      </w:r>
      <w:r w:rsidRPr="00FA5223">
        <w:rPr>
          <w:rFonts w:cstheme="minorHAnsi"/>
          <w:szCs w:val="24"/>
        </w:rPr>
        <w:t xml:space="preserve">rotect, through their contractual standards, stipulate that appropriate security management arrangements must be in place. This includes the provider employing or contracting a qualified person to undertake and/or oversee the delivery of the full range of security management work.  The qualified person (the Local Security Management Specialist (LSMS)) works with the Area Security Management Specialist (ASMS) to ensure robust arrangements are in place. </w:t>
      </w:r>
    </w:p>
    <w:p w:rsidR="00FA5223" w:rsidRDefault="00FA5223" w:rsidP="00FA5223">
      <w:pPr>
        <w:autoSpaceDE w:val="0"/>
        <w:autoSpaceDN w:val="0"/>
        <w:adjustRightInd w:val="0"/>
        <w:spacing w:after="120"/>
        <w:rPr>
          <w:rFonts w:cstheme="minorHAnsi"/>
          <w:szCs w:val="24"/>
        </w:rPr>
      </w:pPr>
      <w:r>
        <w:rPr>
          <w:rFonts w:cstheme="minorHAnsi"/>
          <w:szCs w:val="24"/>
        </w:rPr>
        <w:t>The Security Incident Reporting System (</w:t>
      </w:r>
      <w:r w:rsidRPr="00FA5223">
        <w:rPr>
          <w:rFonts w:cstheme="minorHAnsi"/>
          <w:szCs w:val="24"/>
        </w:rPr>
        <w:t>SIRS</w:t>
      </w:r>
      <w:r>
        <w:rPr>
          <w:rFonts w:cstheme="minorHAnsi"/>
          <w:szCs w:val="24"/>
        </w:rPr>
        <w:t>)</w:t>
      </w:r>
      <w:r w:rsidRPr="00FA5223">
        <w:rPr>
          <w:rFonts w:cstheme="minorHAnsi"/>
          <w:szCs w:val="24"/>
        </w:rPr>
        <w:t xml:space="preserve"> is an electronic tool which allows NHS health bodies to report security incidents occurring on their premises to NHS Protect, enabling the creation of a national picture of such incidents across the NHS in England, for use in detecting and preventing crime in a national, regional and sector specific context. </w:t>
      </w:r>
    </w:p>
    <w:p w:rsidR="00290060" w:rsidRDefault="00290060" w:rsidP="00290060">
      <w:pPr>
        <w:autoSpaceDE w:val="0"/>
        <w:autoSpaceDN w:val="0"/>
        <w:adjustRightInd w:val="0"/>
        <w:spacing w:after="120"/>
        <w:rPr>
          <w:rFonts w:cstheme="minorHAnsi"/>
          <w:szCs w:val="24"/>
        </w:rPr>
      </w:pPr>
      <w:r w:rsidRPr="005448CA">
        <w:rPr>
          <w:rFonts w:cstheme="minorHAnsi"/>
          <w:szCs w:val="24"/>
        </w:rPr>
        <w:t>Where a serious incident occurs to a member of staff resulting from a physical or non-physical assault, there is a requirement to report this to NHS Protect via the Security Incident Reporting System</w:t>
      </w:r>
      <w:r>
        <w:rPr>
          <w:rFonts w:cstheme="minorHAnsi"/>
          <w:szCs w:val="24"/>
        </w:rPr>
        <w:t xml:space="preserve"> (SIRS)</w:t>
      </w:r>
      <w:r w:rsidRPr="005448CA">
        <w:rPr>
          <w:rFonts w:cstheme="minorHAnsi"/>
          <w:szCs w:val="24"/>
        </w:rPr>
        <w:t>. The same reporting requirement relates to incidents involving loss or damage to property and assets of NHS organisations, staff and patients.</w:t>
      </w:r>
    </w:p>
    <w:p w:rsidR="00FA5223" w:rsidRDefault="00FA5223" w:rsidP="00290060">
      <w:pPr>
        <w:autoSpaceDE w:val="0"/>
        <w:autoSpaceDN w:val="0"/>
        <w:adjustRightInd w:val="0"/>
        <w:spacing w:after="120"/>
        <w:rPr>
          <w:rFonts w:cstheme="minorHAnsi"/>
          <w:szCs w:val="24"/>
        </w:rPr>
      </w:pPr>
      <w:r w:rsidRPr="00FA5223">
        <w:rPr>
          <w:rFonts w:cstheme="minorHAnsi"/>
          <w:szCs w:val="24"/>
        </w:rPr>
        <w:t xml:space="preserve">Users can access an online web portal for incidents to be added or edited, and SIRS can also integrate with local NHS risk management systems to allow a single or bulk upload of records. </w:t>
      </w:r>
    </w:p>
    <w:p w:rsidR="00FA5223" w:rsidRPr="00CD6870" w:rsidRDefault="00FA5223" w:rsidP="00290060">
      <w:pPr>
        <w:autoSpaceDE w:val="0"/>
        <w:autoSpaceDN w:val="0"/>
        <w:adjustRightInd w:val="0"/>
        <w:spacing w:after="120"/>
        <w:rPr>
          <w:rFonts w:cstheme="minorHAnsi"/>
          <w:szCs w:val="24"/>
        </w:rPr>
      </w:pPr>
      <w:r w:rsidRPr="00FA5223">
        <w:rPr>
          <w:rFonts w:cstheme="minorHAnsi"/>
          <w:szCs w:val="24"/>
        </w:rPr>
        <w:t xml:space="preserve">More information can be found here </w:t>
      </w:r>
      <w:hyperlink r:id="rId32" w:history="1">
        <w:r w:rsidRPr="00553458">
          <w:rPr>
            <w:rStyle w:val="Hyperlink"/>
            <w:rFonts w:cstheme="minorHAnsi"/>
            <w:szCs w:val="24"/>
          </w:rPr>
          <w:t>http://www.nhsbsa.nhs.uk/4247.aspx</w:t>
        </w:r>
      </w:hyperlink>
      <w:r>
        <w:rPr>
          <w:rFonts w:cstheme="minorHAnsi"/>
          <w:szCs w:val="24"/>
        </w:rPr>
        <w:t xml:space="preserve"> </w:t>
      </w:r>
    </w:p>
    <w:p w:rsidR="00290060" w:rsidRDefault="00290060" w:rsidP="00290060">
      <w:pPr>
        <w:autoSpaceDE w:val="0"/>
        <w:autoSpaceDN w:val="0"/>
        <w:adjustRightInd w:val="0"/>
        <w:spacing w:after="120"/>
        <w:rPr>
          <w:rFonts w:cstheme="minorHAnsi"/>
          <w:b/>
          <w:color w:val="000000"/>
          <w:szCs w:val="24"/>
        </w:rPr>
      </w:pPr>
    </w:p>
    <w:p w:rsidR="00290060" w:rsidRPr="005448CA" w:rsidRDefault="00590594" w:rsidP="00290060">
      <w:pPr>
        <w:autoSpaceDE w:val="0"/>
        <w:autoSpaceDN w:val="0"/>
        <w:adjustRightInd w:val="0"/>
        <w:spacing w:after="120"/>
        <w:rPr>
          <w:rFonts w:cstheme="minorHAnsi"/>
          <w:color w:val="000000"/>
          <w:szCs w:val="24"/>
        </w:rPr>
      </w:pPr>
      <w:r w:rsidRPr="005448CA">
        <w:rPr>
          <w:rFonts w:cstheme="minorHAnsi"/>
          <w:b/>
          <w:color w:val="000000"/>
          <w:szCs w:val="24"/>
        </w:rPr>
        <w:t>N</w:t>
      </w:r>
      <w:r>
        <w:rPr>
          <w:rFonts w:cstheme="minorHAnsi"/>
          <w:b/>
          <w:color w:val="000000"/>
          <w:szCs w:val="24"/>
        </w:rPr>
        <w:t>HS</w:t>
      </w:r>
      <w:r w:rsidRPr="005448CA">
        <w:rPr>
          <w:rFonts w:cstheme="minorHAnsi"/>
          <w:b/>
          <w:color w:val="000000"/>
          <w:szCs w:val="24"/>
        </w:rPr>
        <w:t xml:space="preserve"> </w:t>
      </w:r>
      <w:r>
        <w:rPr>
          <w:rFonts w:cstheme="minorHAnsi"/>
          <w:b/>
          <w:color w:val="000000"/>
          <w:szCs w:val="24"/>
        </w:rPr>
        <w:t xml:space="preserve">Trust </w:t>
      </w:r>
      <w:r w:rsidR="00290060" w:rsidRPr="005448CA">
        <w:rPr>
          <w:rFonts w:cstheme="minorHAnsi"/>
          <w:b/>
          <w:color w:val="000000"/>
          <w:szCs w:val="24"/>
        </w:rPr>
        <w:t>D</w:t>
      </w:r>
      <w:r>
        <w:rPr>
          <w:rFonts w:cstheme="minorHAnsi"/>
          <w:b/>
          <w:color w:val="000000"/>
          <w:szCs w:val="24"/>
        </w:rPr>
        <w:t xml:space="preserve">evelopment </w:t>
      </w:r>
      <w:r w:rsidR="00290060" w:rsidRPr="005448CA">
        <w:rPr>
          <w:rFonts w:cstheme="minorHAnsi"/>
          <w:b/>
          <w:color w:val="000000"/>
          <w:szCs w:val="24"/>
        </w:rPr>
        <w:t>A</w:t>
      </w:r>
      <w:r>
        <w:rPr>
          <w:rFonts w:cstheme="minorHAnsi"/>
          <w:b/>
          <w:color w:val="000000"/>
          <w:szCs w:val="24"/>
        </w:rPr>
        <w:t>uthority</w:t>
      </w:r>
    </w:p>
    <w:p w:rsidR="00290060" w:rsidRPr="00CD6870" w:rsidRDefault="00290060" w:rsidP="00290060">
      <w:pPr>
        <w:autoSpaceDE w:val="0"/>
        <w:autoSpaceDN w:val="0"/>
        <w:adjustRightInd w:val="0"/>
        <w:spacing w:after="120"/>
        <w:rPr>
          <w:rFonts w:cstheme="minorHAnsi"/>
          <w:color w:val="000000"/>
          <w:szCs w:val="24"/>
        </w:rPr>
      </w:pPr>
      <w:r w:rsidRPr="005448CA">
        <w:rPr>
          <w:rFonts w:cstheme="minorHAnsi"/>
          <w:color w:val="000000"/>
          <w:szCs w:val="24"/>
        </w:rPr>
        <w:t>NHS Trusts should directly infor</w:t>
      </w:r>
      <w:r>
        <w:rPr>
          <w:rFonts w:cstheme="minorHAnsi"/>
          <w:color w:val="000000"/>
          <w:szCs w:val="24"/>
        </w:rPr>
        <w:t xml:space="preserve">m </w:t>
      </w:r>
      <w:r w:rsidR="00590594">
        <w:rPr>
          <w:rFonts w:cstheme="minorHAnsi"/>
          <w:color w:val="000000"/>
          <w:szCs w:val="24"/>
        </w:rPr>
        <w:t>the</w:t>
      </w:r>
      <w:r w:rsidR="000D4248">
        <w:rPr>
          <w:rFonts w:cstheme="minorHAnsi"/>
          <w:color w:val="000000"/>
          <w:szCs w:val="24"/>
        </w:rPr>
        <w:t xml:space="preserve"> </w:t>
      </w:r>
      <w:r>
        <w:rPr>
          <w:rFonts w:cstheme="minorHAnsi"/>
          <w:color w:val="000000"/>
          <w:szCs w:val="24"/>
        </w:rPr>
        <w:t>TDA of all serious incidents</w:t>
      </w:r>
    </w:p>
    <w:p w:rsidR="00290060" w:rsidRDefault="00290060" w:rsidP="00290060">
      <w:pPr>
        <w:autoSpaceDE w:val="0"/>
        <w:autoSpaceDN w:val="0"/>
        <w:adjustRightInd w:val="0"/>
        <w:spacing w:after="120"/>
        <w:rPr>
          <w:rFonts w:cstheme="minorHAnsi"/>
          <w:b/>
          <w:color w:val="000000"/>
          <w:szCs w:val="24"/>
        </w:rPr>
      </w:pPr>
    </w:p>
    <w:p w:rsidR="00290060" w:rsidRPr="005448CA" w:rsidRDefault="00290060" w:rsidP="00290060">
      <w:pPr>
        <w:autoSpaceDE w:val="0"/>
        <w:autoSpaceDN w:val="0"/>
        <w:adjustRightInd w:val="0"/>
        <w:spacing w:after="120"/>
        <w:rPr>
          <w:rFonts w:cstheme="minorHAnsi"/>
          <w:b/>
          <w:color w:val="000000"/>
          <w:szCs w:val="24"/>
        </w:rPr>
      </w:pPr>
      <w:r>
        <w:rPr>
          <w:rFonts w:cstheme="minorHAnsi"/>
          <w:b/>
          <w:color w:val="000000"/>
          <w:szCs w:val="24"/>
        </w:rPr>
        <w:t>Police</w:t>
      </w:r>
    </w:p>
    <w:p w:rsidR="00290060" w:rsidRDefault="00290060" w:rsidP="00290060">
      <w:pPr>
        <w:autoSpaceDE w:val="0"/>
        <w:autoSpaceDN w:val="0"/>
        <w:adjustRightInd w:val="0"/>
        <w:spacing w:after="120"/>
        <w:rPr>
          <w:rFonts w:cstheme="minorHAnsi"/>
          <w:color w:val="000000"/>
          <w:szCs w:val="24"/>
        </w:rPr>
      </w:pPr>
      <w:r w:rsidRPr="005448CA">
        <w:rPr>
          <w:rFonts w:cstheme="minorHAnsi"/>
          <w:color w:val="000000"/>
          <w:szCs w:val="24"/>
        </w:rPr>
        <w:t>The police are likely to investigate incidents where there is;</w:t>
      </w:r>
    </w:p>
    <w:p w:rsidR="00A433BB" w:rsidRPr="007B3224" w:rsidRDefault="00A433BB" w:rsidP="0072371B">
      <w:pPr>
        <w:pStyle w:val="ListParagraph"/>
        <w:numPr>
          <w:ilvl w:val="0"/>
          <w:numId w:val="73"/>
        </w:numPr>
        <w:autoSpaceDE w:val="0"/>
        <w:autoSpaceDN w:val="0"/>
        <w:adjustRightInd w:val="0"/>
        <w:spacing w:after="120"/>
        <w:rPr>
          <w:rFonts w:cstheme="minorHAnsi"/>
          <w:color w:val="000000"/>
          <w:szCs w:val="24"/>
        </w:rPr>
      </w:pPr>
      <w:r w:rsidRPr="007B3224">
        <w:rPr>
          <w:rFonts w:cstheme="minorHAnsi"/>
          <w:color w:val="000000"/>
          <w:szCs w:val="24"/>
        </w:rPr>
        <w:t>evidence or suspicion that the actions leading to harm (including acts of omission) were reckless, grossly negligent or wilfully neglectful;</w:t>
      </w:r>
    </w:p>
    <w:p w:rsidR="00A433BB" w:rsidRPr="007B3224" w:rsidRDefault="00A433BB" w:rsidP="0072371B">
      <w:pPr>
        <w:pStyle w:val="ListParagraph"/>
        <w:numPr>
          <w:ilvl w:val="0"/>
          <w:numId w:val="73"/>
        </w:numPr>
        <w:autoSpaceDE w:val="0"/>
        <w:autoSpaceDN w:val="0"/>
        <w:adjustRightInd w:val="0"/>
        <w:spacing w:after="120"/>
        <w:rPr>
          <w:rFonts w:cstheme="minorHAnsi"/>
          <w:color w:val="000000"/>
          <w:szCs w:val="24"/>
        </w:rPr>
      </w:pPr>
      <w:r w:rsidRPr="007B3224">
        <w:rPr>
          <w:rFonts w:cstheme="minorHAnsi"/>
          <w:color w:val="000000"/>
          <w:szCs w:val="24"/>
        </w:rPr>
        <w:t>evidence or suspicion that harm/adverse consequences were intended</w:t>
      </w:r>
    </w:p>
    <w:p w:rsidR="00290060" w:rsidRPr="002F7460" w:rsidRDefault="00290060" w:rsidP="007B3224">
      <w:pPr>
        <w:autoSpaceDE w:val="0"/>
        <w:autoSpaceDN w:val="0"/>
        <w:adjustRightInd w:val="0"/>
        <w:spacing w:after="120" w:line="276" w:lineRule="auto"/>
        <w:ind w:left="720"/>
        <w:rPr>
          <w:rFonts w:cstheme="minorHAnsi"/>
          <w:color w:val="000000"/>
          <w:szCs w:val="24"/>
        </w:rPr>
      </w:pPr>
    </w:p>
    <w:p w:rsidR="00290060" w:rsidRPr="00CD6870" w:rsidRDefault="00290060" w:rsidP="00290060">
      <w:pPr>
        <w:rPr>
          <w:rFonts w:cstheme="minorHAnsi"/>
          <w:szCs w:val="24"/>
        </w:rPr>
      </w:pPr>
      <w:r w:rsidRPr="005448CA">
        <w:rPr>
          <w:rFonts w:cstheme="minorHAnsi"/>
          <w:szCs w:val="24"/>
        </w:rPr>
        <w:t>In the first instance the incident should be reported within the organisation in the normal way and to the commissioning body. Referral to the police should be undertaken by a senior member of staff in the reporting organisat</w:t>
      </w:r>
      <w:r>
        <w:rPr>
          <w:rFonts w:cstheme="minorHAnsi"/>
          <w:szCs w:val="24"/>
        </w:rPr>
        <w:t xml:space="preserve">ion. </w:t>
      </w:r>
    </w:p>
    <w:p w:rsidR="00290060" w:rsidRDefault="00290060" w:rsidP="00290060">
      <w:pPr>
        <w:autoSpaceDE w:val="0"/>
        <w:autoSpaceDN w:val="0"/>
        <w:adjustRightInd w:val="0"/>
        <w:spacing w:after="120"/>
        <w:rPr>
          <w:rFonts w:cstheme="minorHAnsi"/>
          <w:b/>
          <w:color w:val="000000"/>
          <w:szCs w:val="24"/>
        </w:rPr>
      </w:pPr>
    </w:p>
    <w:p w:rsidR="00290060" w:rsidRPr="005448CA" w:rsidRDefault="00290060" w:rsidP="00290060">
      <w:pPr>
        <w:autoSpaceDE w:val="0"/>
        <w:autoSpaceDN w:val="0"/>
        <w:adjustRightInd w:val="0"/>
        <w:spacing w:after="120"/>
        <w:rPr>
          <w:rFonts w:cstheme="minorHAnsi"/>
          <w:color w:val="000000"/>
          <w:szCs w:val="24"/>
        </w:rPr>
      </w:pPr>
      <w:r w:rsidRPr="005448CA">
        <w:rPr>
          <w:rFonts w:cstheme="minorHAnsi"/>
          <w:b/>
          <w:color w:val="000000"/>
          <w:szCs w:val="24"/>
        </w:rPr>
        <w:t>Professional</w:t>
      </w:r>
      <w:r>
        <w:rPr>
          <w:rFonts w:cstheme="minorHAnsi"/>
          <w:b/>
          <w:color w:val="000000"/>
          <w:szCs w:val="24"/>
        </w:rPr>
        <w:t xml:space="preserve"> regulators and professional</w:t>
      </w:r>
      <w:r w:rsidRPr="005448CA">
        <w:rPr>
          <w:rFonts w:cstheme="minorHAnsi"/>
          <w:b/>
          <w:color w:val="000000"/>
          <w:szCs w:val="24"/>
        </w:rPr>
        <w:t xml:space="preserve"> misconduct</w:t>
      </w:r>
    </w:p>
    <w:p w:rsidR="00290060" w:rsidRPr="005448CA" w:rsidRDefault="00290060" w:rsidP="00290060">
      <w:pPr>
        <w:autoSpaceDE w:val="0"/>
        <w:autoSpaceDN w:val="0"/>
        <w:adjustRightInd w:val="0"/>
        <w:spacing w:after="120"/>
        <w:rPr>
          <w:rFonts w:cstheme="minorHAnsi"/>
          <w:color w:val="000000"/>
          <w:szCs w:val="24"/>
        </w:rPr>
      </w:pPr>
      <w:r w:rsidRPr="005448CA">
        <w:rPr>
          <w:rFonts w:cstheme="minorHAnsi"/>
          <w:color w:val="000000"/>
          <w:szCs w:val="24"/>
        </w:rPr>
        <w:t xml:space="preserve">The vast majority of serious incidents are caused by the failure of systems and not the actions of individuals and this must be recognised by the team handling the investigation. Serious incident management process should be followed and progressed in line with the national Serious Incident </w:t>
      </w:r>
      <w:r w:rsidR="005A7486">
        <w:rPr>
          <w:rFonts w:cstheme="minorHAnsi"/>
          <w:color w:val="000000"/>
          <w:szCs w:val="24"/>
        </w:rPr>
        <w:t>Framework</w:t>
      </w:r>
      <w:r w:rsidRPr="005448CA">
        <w:rPr>
          <w:rFonts w:cstheme="minorHAnsi"/>
          <w:color w:val="000000"/>
          <w:szCs w:val="24"/>
        </w:rPr>
        <w:t xml:space="preserve"> even if grounds arise to suggest that a serious incident may have occurred as a result of ‘professional misconduct’. If grounds for professional misconduct are suggested it is important that the appropriate lead (e.g. the Responsible Officer/Medical or Nursing Director) within the provider organisation is alerted (</w:t>
      </w:r>
      <w:r w:rsidRPr="004B1087">
        <w:rPr>
          <w:rFonts w:cstheme="minorHAnsi"/>
          <w:color w:val="000000"/>
          <w:szCs w:val="24"/>
        </w:rPr>
        <w:t>within 2 days)</w:t>
      </w:r>
      <w:r w:rsidRPr="005448CA">
        <w:rPr>
          <w:rFonts w:cstheme="minorHAnsi"/>
          <w:color w:val="000000"/>
          <w:szCs w:val="24"/>
        </w:rPr>
        <w:t xml:space="preserve"> to ensure that appropriate action is taken as and when required. Appropriate action includes the investigation and/or HR team taking time to carefully assess or refer on to experts the actions or omissions in question, within the context of the incident, to identify whether these are considered reckless or malicious, as opposed to slips, lapses, or a situation where there are others routinely taking the same route or in need of similar levels of support, supervision or training</w:t>
      </w:r>
      <w:r w:rsidR="0051790F">
        <w:rPr>
          <w:rFonts w:cstheme="minorHAnsi"/>
          <w:color w:val="000000"/>
          <w:szCs w:val="24"/>
        </w:rPr>
        <w:t>.</w:t>
      </w:r>
      <w:r w:rsidRPr="005448CA">
        <w:rPr>
          <w:rFonts w:cstheme="minorHAnsi"/>
          <w:color w:val="000000"/>
          <w:szCs w:val="24"/>
        </w:rPr>
        <w:t xml:space="preserve"> </w:t>
      </w:r>
      <w:r w:rsidR="0051790F">
        <w:rPr>
          <w:rFonts w:cstheme="minorHAnsi"/>
          <w:color w:val="000000"/>
          <w:szCs w:val="24"/>
        </w:rPr>
        <w:t>S</w:t>
      </w:r>
      <w:r w:rsidRPr="005448CA">
        <w:rPr>
          <w:rFonts w:cstheme="minorHAnsi"/>
          <w:color w:val="000000"/>
          <w:szCs w:val="24"/>
        </w:rPr>
        <w:t xml:space="preserve">ystems failures are </w:t>
      </w:r>
      <w:r w:rsidR="0051790F">
        <w:rPr>
          <w:rFonts w:cstheme="minorHAnsi"/>
          <w:color w:val="000000"/>
          <w:szCs w:val="24"/>
        </w:rPr>
        <w:t xml:space="preserve">most </w:t>
      </w:r>
      <w:r w:rsidRPr="005448CA">
        <w:rPr>
          <w:rFonts w:cstheme="minorHAnsi"/>
          <w:color w:val="000000"/>
          <w:szCs w:val="24"/>
        </w:rPr>
        <w:t xml:space="preserve">likely to be at the core of the problem and, the most effective place to target improvements/solution to prevent recurrence. </w:t>
      </w:r>
    </w:p>
    <w:p w:rsidR="00290060" w:rsidRPr="00AE6324" w:rsidRDefault="00290060" w:rsidP="00290060">
      <w:pPr>
        <w:autoSpaceDE w:val="0"/>
        <w:autoSpaceDN w:val="0"/>
        <w:adjustRightInd w:val="0"/>
        <w:spacing w:after="120"/>
        <w:rPr>
          <w:rFonts w:cstheme="minorHAnsi"/>
          <w:color w:val="000000"/>
          <w:szCs w:val="24"/>
        </w:rPr>
      </w:pPr>
      <w:r w:rsidRPr="005448CA">
        <w:rPr>
          <w:rFonts w:cstheme="minorHAnsi"/>
          <w:color w:val="000000"/>
          <w:szCs w:val="24"/>
        </w:rPr>
        <w:t>The Incident Decision Tree should be used to determine if action is required in relation to individuals</w:t>
      </w:r>
      <w:r w:rsidRPr="005448CA">
        <w:rPr>
          <w:rStyle w:val="FootnoteReference"/>
          <w:rFonts w:cstheme="minorHAnsi"/>
          <w:color w:val="000000"/>
          <w:szCs w:val="24"/>
        </w:rPr>
        <w:footnoteReference w:id="51"/>
      </w:r>
    </w:p>
    <w:p w:rsidR="00290060" w:rsidRPr="00FA5223" w:rsidRDefault="00290060" w:rsidP="00290060">
      <w:pPr>
        <w:autoSpaceDE w:val="0"/>
        <w:autoSpaceDN w:val="0"/>
        <w:adjustRightInd w:val="0"/>
        <w:spacing w:after="120"/>
        <w:rPr>
          <w:rFonts w:cstheme="minorHAnsi"/>
          <w:color w:val="000000"/>
          <w:szCs w:val="24"/>
        </w:rPr>
      </w:pPr>
      <w:r w:rsidRPr="00FA5223">
        <w:rPr>
          <w:rFonts w:cstheme="minorHAnsi"/>
          <w:color w:val="000000"/>
          <w:szCs w:val="24"/>
        </w:rPr>
        <w:t>Information relating to</w:t>
      </w:r>
      <w:r w:rsidR="00FA5223">
        <w:rPr>
          <w:rFonts w:cstheme="minorHAnsi"/>
          <w:color w:val="000000"/>
          <w:szCs w:val="24"/>
        </w:rPr>
        <w:t xml:space="preserve"> all</w:t>
      </w:r>
      <w:r w:rsidRPr="00FA5223">
        <w:rPr>
          <w:rFonts w:cstheme="minorHAnsi"/>
          <w:color w:val="000000"/>
          <w:szCs w:val="24"/>
        </w:rPr>
        <w:t xml:space="preserve"> </w:t>
      </w:r>
      <w:r w:rsidR="00FA5223" w:rsidRPr="00FA5223">
        <w:rPr>
          <w:rFonts w:cstheme="minorHAnsi"/>
          <w:color w:val="000000"/>
          <w:szCs w:val="24"/>
        </w:rPr>
        <w:t>Statutory Regulators</w:t>
      </w:r>
      <w:r w:rsidR="0051790F">
        <w:rPr>
          <w:rFonts w:cstheme="minorHAnsi"/>
          <w:color w:val="000000"/>
          <w:szCs w:val="24"/>
        </w:rPr>
        <w:t xml:space="preserve"> and the process for managing professional misconduct</w:t>
      </w:r>
      <w:r w:rsidR="00FA5223" w:rsidRPr="00FA5223">
        <w:rPr>
          <w:rFonts w:cstheme="minorHAnsi"/>
          <w:color w:val="000000"/>
          <w:szCs w:val="24"/>
        </w:rPr>
        <w:t xml:space="preserve"> can be found in the statutory regulators directory </w:t>
      </w:r>
      <w:hyperlink r:id="rId33" w:history="1">
        <w:r w:rsidR="00FA5223" w:rsidRPr="00FA5223">
          <w:rPr>
            <w:rStyle w:val="Hyperlink"/>
            <w:rFonts w:cstheme="minorHAnsi"/>
            <w:szCs w:val="24"/>
          </w:rPr>
          <w:t>http://www.professionalstandards.org.uk/regulators/statutory-regulators-directory</w:t>
        </w:r>
      </w:hyperlink>
      <w:r w:rsidR="00FA5223" w:rsidRPr="00FA5223">
        <w:rPr>
          <w:rFonts w:cstheme="minorHAnsi"/>
          <w:color w:val="000000"/>
          <w:szCs w:val="24"/>
        </w:rPr>
        <w:t xml:space="preserve"> </w:t>
      </w:r>
    </w:p>
    <w:p w:rsidR="00FA5223" w:rsidRDefault="00FA5223" w:rsidP="00290060">
      <w:pPr>
        <w:autoSpaceDE w:val="0"/>
        <w:autoSpaceDN w:val="0"/>
        <w:adjustRightInd w:val="0"/>
        <w:spacing w:after="120"/>
        <w:rPr>
          <w:rFonts w:cstheme="minorHAnsi"/>
          <w:b/>
          <w:color w:val="000000"/>
          <w:szCs w:val="24"/>
        </w:rPr>
      </w:pPr>
    </w:p>
    <w:p w:rsidR="00290060" w:rsidRPr="00AE6324" w:rsidRDefault="00290060" w:rsidP="00290060">
      <w:pPr>
        <w:autoSpaceDE w:val="0"/>
        <w:autoSpaceDN w:val="0"/>
        <w:adjustRightInd w:val="0"/>
        <w:spacing w:after="120"/>
        <w:rPr>
          <w:rFonts w:cstheme="minorHAnsi"/>
          <w:b/>
          <w:color w:val="000000"/>
          <w:szCs w:val="24"/>
        </w:rPr>
      </w:pPr>
      <w:r w:rsidRPr="00AE6324">
        <w:rPr>
          <w:rFonts w:cstheme="minorHAnsi"/>
          <w:b/>
          <w:color w:val="000000"/>
          <w:szCs w:val="24"/>
        </w:rPr>
        <w:t>Public Health England</w:t>
      </w:r>
    </w:p>
    <w:p w:rsidR="00290060" w:rsidRDefault="00290060" w:rsidP="00290060">
      <w:pPr>
        <w:autoSpaceDE w:val="0"/>
        <w:autoSpaceDN w:val="0"/>
        <w:adjustRightInd w:val="0"/>
        <w:spacing w:after="120"/>
        <w:rPr>
          <w:rFonts w:cstheme="minorHAnsi"/>
          <w:color w:val="000000"/>
          <w:szCs w:val="24"/>
        </w:rPr>
      </w:pPr>
      <w:r w:rsidRPr="00AE6324">
        <w:rPr>
          <w:rFonts w:cstheme="minorHAnsi"/>
          <w:color w:val="000000"/>
          <w:szCs w:val="24"/>
        </w:rPr>
        <w:t xml:space="preserve">Public Health England (PHE) Screening and Immunisation Leads, based within NHS England </w:t>
      </w:r>
      <w:r w:rsidR="000A74CD">
        <w:rPr>
          <w:rFonts w:cstheme="minorHAnsi"/>
          <w:color w:val="000000"/>
          <w:szCs w:val="24"/>
        </w:rPr>
        <w:t>Sub-regions</w:t>
      </w:r>
      <w:r w:rsidRPr="00AE6324">
        <w:rPr>
          <w:rFonts w:cstheme="minorHAnsi"/>
          <w:color w:val="000000"/>
          <w:szCs w:val="24"/>
        </w:rPr>
        <w:t>, have a system leadership role for screening and immunisation programmes. They have a responsibility to support the oversight and management of incidents which occur within these programmes and will liaise with other PHE experts to ensure that the investigation and response to an incident is managed appropriately. PHE’s Screening Quality Assurance team also ha</w:t>
      </w:r>
      <w:r w:rsidR="0006294F">
        <w:rPr>
          <w:rFonts w:cstheme="minorHAnsi"/>
          <w:color w:val="000000"/>
          <w:szCs w:val="24"/>
        </w:rPr>
        <w:t>s</w:t>
      </w:r>
      <w:r w:rsidRPr="00AE6324">
        <w:rPr>
          <w:rFonts w:cstheme="minorHAnsi"/>
          <w:color w:val="000000"/>
          <w:szCs w:val="24"/>
        </w:rPr>
        <w:t xml:space="preserve"> a key role in the investigation and </w:t>
      </w:r>
      <w:r w:rsidRPr="00AE6324">
        <w:rPr>
          <w:rFonts w:cstheme="minorHAnsi"/>
          <w:color w:val="000000"/>
          <w:szCs w:val="24"/>
        </w:rPr>
        <w:lastRenderedPageBreak/>
        <w:t xml:space="preserve">management of serious incidents within screening programmes. Screening and Immunisation Leads within NHS England must ensure the Screening Quality Assurance team </w:t>
      </w:r>
      <w:r w:rsidR="0006294F">
        <w:rPr>
          <w:rFonts w:cstheme="minorHAnsi"/>
          <w:color w:val="000000"/>
          <w:szCs w:val="24"/>
        </w:rPr>
        <w:t>is</w:t>
      </w:r>
      <w:r w:rsidRPr="00AE6324">
        <w:rPr>
          <w:rFonts w:cstheme="minorHAnsi"/>
          <w:color w:val="000000"/>
          <w:szCs w:val="24"/>
        </w:rPr>
        <w:t xml:space="preserve"> notified when incidents occur within screening programmes. </w:t>
      </w:r>
    </w:p>
    <w:p w:rsidR="00290060" w:rsidRPr="00AE6324" w:rsidRDefault="00290060" w:rsidP="00290060">
      <w:pPr>
        <w:autoSpaceDE w:val="0"/>
        <w:autoSpaceDN w:val="0"/>
        <w:adjustRightInd w:val="0"/>
        <w:spacing w:after="120"/>
        <w:rPr>
          <w:rFonts w:cstheme="minorHAnsi"/>
          <w:color w:val="000000"/>
          <w:szCs w:val="24"/>
        </w:rPr>
      </w:pPr>
      <w:r w:rsidRPr="00AE6324">
        <w:rPr>
          <w:rFonts w:cstheme="minorHAnsi"/>
          <w:color w:val="000000"/>
          <w:szCs w:val="24"/>
        </w:rPr>
        <w:t>PHE also ha</w:t>
      </w:r>
      <w:r w:rsidR="0006294F">
        <w:rPr>
          <w:rFonts w:cstheme="minorHAnsi"/>
          <w:color w:val="000000"/>
          <w:szCs w:val="24"/>
        </w:rPr>
        <w:t>s</w:t>
      </w:r>
      <w:r w:rsidRPr="00AE6324">
        <w:rPr>
          <w:rFonts w:cstheme="minorHAnsi"/>
          <w:color w:val="000000"/>
          <w:szCs w:val="24"/>
        </w:rPr>
        <w:t xml:space="preserve"> a broader role in supporting the management of serious incidents that occur within other NHS services, where there is a potential for the incident to have adversely affected the health of a wider population. Such incidents may include decontamination failures; inadvertent contact on NHS premises of patients and staff with someone with a transmissible infectious disease such as measles or TB; outbreaks of health care associated infections; the finding of a Health Care Worker infected with a blood borne virus; failure of microbiological laboratory practice; release/widespread exposure to harmful chemicals or a source of radiation.</w:t>
      </w:r>
    </w:p>
    <w:p w:rsidR="00290060" w:rsidRPr="00CD6870" w:rsidRDefault="00290060" w:rsidP="00290060">
      <w:pPr>
        <w:autoSpaceDE w:val="0"/>
        <w:autoSpaceDN w:val="0"/>
        <w:adjustRightInd w:val="0"/>
        <w:spacing w:after="120"/>
        <w:rPr>
          <w:rFonts w:cstheme="minorHAnsi"/>
          <w:color w:val="000000"/>
          <w:szCs w:val="24"/>
        </w:rPr>
      </w:pPr>
      <w:r w:rsidRPr="00AE6324">
        <w:rPr>
          <w:rFonts w:cstheme="minorHAnsi"/>
          <w:color w:val="000000"/>
          <w:szCs w:val="24"/>
        </w:rPr>
        <w:t>Where the potential exists for the health of a wider group of people to be adversely affected by an incident in the NHS, the responsible NHS provider must contact the relevant Public Health England Centre through their Health Protection Team and involve PHE as part of the local incident control team. Commissioners must work with the providers of services which they directly commission to ensure this is the case. Public Health England will provide expert input to the assessment of population risk and advice on the management of public health aspects of the incident.  The local team will draw on regional and national expertise wi</w:t>
      </w:r>
      <w:r>
        <w:rPr>
          <w:rFonts w:cstheme="minorHAnsi"/>
          <w:color w:val="000000"/>
          <w:szCs w:val="24"/>
        </w:rPr>
        <w:t>thin PHE as necessary.</w:t>
      </w:r>
    </w:p>
    <w:p w:rsidR="00FA5223" w:rsidRDefault="00FA5223" w:rsidP="00290060">
      <w:pPr>
        <w:autoSpaceDE w:val="0"/>
        <w:autoSpaceDN w:val="0"/>
        <w:adjustRightInd w:val="0"/>
        <w:spacing w:after="120"/>
        <w:rPr>
          <w:rFonts w:cstheme="minorHAnsi"/>
          <w:b/>
          <w:szCs w:val="24"/>
        </w:rPr>
      </w:pPr>
    </w:p>
    <w:p w:rsidR="00290060" w:rsidRPr="005448CA" w:rsidRDefault="00290060" w:rsidP="00290060">
      <w:pPr>
        <w:autoSpaceDE w:val="0"/>
        <w:autoSpaceDN w:val="0"/>
        <w:adjustRightInd w:val="0"/>
        <w:spacing w:after="120"/>
        <w:rPr>
          <w:rFonts w:cstheme="minorHAnsi"/>
          <w:b/>
          <w:szCs w:val="24"/>
        </w:rPr>
      </w:pPr>
      <w:r w:rsidRPr="005448CA">
        <w:rPr>
          <w:rFonts w:cstheme="minorHAnsi"/>
          <w:b/>
          <w:szCs w:val="24"/>
        </w:rPr>
        <w:t>Serious Adverse Blood Reactions and Incidents (SABRE)</w:t>
      </w:r>
    </w:p>
    <w:p w:rsidR="00290060" w:rsidRDefault="00290060" w:rsidP="00290060">
      <w:r w:rsidRPr="005448CA">
        <w:rPr>
          <w:rFonts w:cstheme="minorHAnsi"/>
          <w:szCs w:val="24"/>
        </w:rPr>
        <w:t xml:space="preserve">The UK Blood Safety and Quality Regulations 2005 and the EU Blood Safety Directive require that serious adverse incidents and serious adverse reactions related to blood and blood components are reported to the MHRA, the UK Competent Authority for blood safety. This information is vital to the work that the Serious Hazards of Transfusion (SHOT) uses to compile its reports. Further details on reporting can be found at: </w:t>
      </w:r>
      <w:hyperlink r:id="rId34" w:history="1">
        <w:r w:rsidRPr="005448CA">
          <w:rPr>
            <w:rFonts w:cstheme="minorHAnsi"/>
            <w:color w:val="0072C6" w:themeColor="hyperlink"/>
            <w:szCs w:val="24"/>
            <w:u w:val="single"/>
          </w:rPr>
          <w:t>http://www.mhra.gov.uk/Safetyinformation/Reportingsafetyproblems/Blood/index.htm</w:t>
        </w:r>
      </w:hyperlink>
    </w:p>
    <w:p w:rsidR="005D2131" w:rsidRDefault="005D2131" w:rsidP="00E55F68">
      <w:pPr>
        <w:pStyle w:val="Heading1"/>
      </w:pPr>
    </w:p>
    <w:p w:rsidR="007E6143" w:rsidRPr="007E6143" w:rsidRDefault="00685DE9" w:rsidP="007E6143">
      <w:r>
        <w:br w:type="page"/>
      </w:r>
    </w:p>
    <w:p w:rsidR="00640555" w:rsidRDefault="00E55F68" w:rsidP="00BE15C7">
      <w:pPr>
        <w:pStyle w:val="Heading1"/>
      </w:pPr>
      <w:bookmarkStart w:id="62" w:name="_Toc414568074"/>
      <w:r>
        <w:t>Appendix 3</w:t>
      </w:r>
      <w:r w:rsidR="005D2131">
        <w:t>:</w:t>
      </w:r>
      <w:r w:rsidR="00236125">
        <w:t xml:space="preserve"> Independent Investigation</w:t>
      </w:r>
      <w:r w:rsidR="00057A68">
        <w:t xml:space="preserve"> (level 3)</w:t>
      </w:r>
      <w:bookmarkEnd w:id="62"/>
    </w:p>
    <w:p w:rsidR="007E6143" w:rsidRDefault="007E6143" w:rsidP="007E6143"/>
    <w:p w:rsidR="00157F75" w:rsidRPr="00157F75" w:rsidRDefault="00157F75" w:rsidP="007E6143">
      <w:pPr>
        <w:rPr>
          <w:b/>
        </w:rPr>
      </w:pPr>
      <w:r w:rsidRPr="00157F75">
        <w:rPr>
          <w:b/>
        </w:rPr>
        <w:t>Introduction</w:t>
      </w:r>
    </w:p>
    <w:p w:rsidR="00157F75" w:rsidRDefault="00157F75" w:rsidP="007E6143"/>
    <w:p w:rsidR="00AC02DC" w:rsidRDefault="007E6143" w:rsidP="007E6143">
      <w:r>
        <w:t xml:space="preserve">This </w:t>
      </w:r>
      <w:r w:rsidR="00AC02DC">
        <w:t>appendix descri</w:t>
      </w:r>
      <w:r w:rsidR="002F37ED">
        <w:t>bes the process for undertaking</w:t>
      </w:r>
      <w:r w:rsidR="00057A68">
        <w:t xml:space="preserve"> </w:t>
      </w:r>
      <w:r>
        <w:t>independent</w:t>
      </w:r>
      <w:r w:rsidR="00AC02DC">
        <w:t xml:space="preserve"> investigations</w:t>
      </w:r>
      <w:r w:rsidR="002F37ED">
        <w:t xml:space="preserve"> </w:t>
      </w:r>
      <w:r w:rsidR="008A26B4">
        <w:t xml:space="preserve">for the purposes of learning to prevent recurrence. </w:t>
      </w:r>
      <w:r>
        <w:t xml:space="preserve"> </w:t>
      </w:r>
      <w:r w:rsidR="00AC02DC">
        <w:t>It describes the circumstances in which an independent investigation may be required and the process for commissioning and managing these types of investigation. It also outlines the potential scope of independent investigation</w:t>
      </w:r>
      <w:r w:rsidR="002F37ED">
        <w:t>s and the circumstances where it may be</w:t>
      </w:r>
      <w:r w:rsidR="00AC02DC">
        <w:t xml:space="preserve"> necessary to involve the expertise of </w:t>
      </w:r>
      <w:r w:rsidR="006A613D">
        <w:t xml:space="preserve">NHS England Regional </w:t>
      </w:r>
      <w:r w:rsidR="0006294F">
        <w:t>i</w:t>
      </w:r>
      <w:r w:rsidR="0068392D">
        <w:t xml:space="preserve">nvestigation </w:t>
      </w:r>
      <w:r w:rsidR="0006294F">
        <w:t>t</w:t>
      </w:r>
      <w:r w:rsidR="0068392D">
        <w:t>eams</w:t>
      </w:r>
      <w:r w:rsidR="00AC02DC">
        <w:t xml:space="preserve">. It does not describe the regional process that has been established for investigating homicide by those in receipt of mental health care. This process is described in appendix 1. This appendix should be read in conjunction with the main </w:t>
      </w:r>
      <w:r w:rsidR="005A7486">
        <w:t>Framework</w:t>
      </w:r>
      <w:r w:rsidR="00853196">
        <w:t>.</w:t>
      </w:r>
    </w:p>
    <w:p w:rsidR="00AC02DC" w:rsidRDefault="00AC02DC" w:rsidP="007E6143"/>
    <w:p w:rsidR="00AC02DC" w:rsidRPr="00AC02DC" w:rsidRDefault="00AC02DC" w:rsidP="007E6143">
      <w:pPr>
        <w:rPr>
          <w:b/>
        </w:rPr>
      </w:pPr>
      <w:r w:rsidRPr="00AC02DC">
        <w:rPr>
          <w:b/>
        </w:rPr>
        <w:t>Scope</w:t>
      </w:r>
    </w:p>
    <w:p w:rsidR="00AC02DC" w:rsidRDefault="00AC02DC" w:rsidP="007E6143"/>
    <w:p w:rsidR="00C92124" w:rsidRDefault="00C92124" w:rsidP="00C92124">
      <w:r w:rsidRPr="007102BB">
        <w:t xml:space="preserve">Investigations carried out under this </w:t>
      </w:r>
      <w:r w:rsidR="005A7486">
        <w:t>Framework</w:t>
      </w:r>
      <w:r w:rsidRPr="007102BB">
        <w:t xml:space="preserve"> are conducted for the purposes of learning</w:t>
      </w:r>
      <w:r>
        <w:t xml:space="preserve"> to prevent recurrence. They</w:t>
      </w:r>
      <w:r w:rsidRPr="007102BB">
        <w:t xml:space="preserve"> are not </w:t>
      </w:r>
      <w:r>
        <w:t xml:space="preserve">inquiries into how a person died (where applicable) as this is a matter for Coroners. Neither are they conducted </w:t>
      </w:r>
      <w:r w:rsidRPr="007102BB">
        <w:t xml:space="preserve">to hold any individual or organisation to account.  Other </w:t>
      </w:r>
      <w:r w:rsidR="00137788">
        <w:t>processes</w:t>
      </w:r>
      <w:r w:rsidRPr="007102BB">
        <w:t xml:space="preserve"> exist for that</w:t>
      </w:r>
      <w:r w:rsidR="00137788">
        <w:t xml:space="preserve"> purpose</w:t>
      </w:r>
      <w:r w:rsidRPr="007102BB">
        <w:t xml:space="preserve"> including: criminal or civil proceedings, disciplinary procedures, employment law and systems of service and professional regulation, such as the Care Quality Commission and the Nursing and Midwifery Council, the Health and Care Professions Council, and the General Medical Council.</w:t>
      </w:r>
      <w:r>
        <w:t xml:space="preserve"> In circumstances where the</w:t>
      </w:r>
      <w:r w:rsidRPr="005013FE">
        <w:t xml:space="preserve"> actions of other</w:t>
      </w:r>
      <w:r>
        <w:t xml:space="preserve"> agencies are required then those agencies</w:t>
      </w:r>
      <w:r w:rsidRPr="005013FE">
        <w:t xml:space="preserve"> must be appropriately inform</w:t>
      </w:r>
      <w:r>
        <w:t xml:space="preserve">ed and relevant protocols, outside the scope of this </w:t>
      </w:r>
      <w:r w:rsidR="005A7486">
        <w:t>Framework</w:t>
      </w:r>
      <w:r>
        <w:t xml:space="preserve">, must be followed. </w:t>
      </w:r>
    </w:p>
    <w:p w:rsidR="002F37ED" w:rsidRDefault="002F37ED" w:rsidP="00C92124"/>
    <w:p w:rsidR="00057A68" w:rsidRPr="006A613D" w:rsidRDefault="00057A68" w:rsidP="007E6143">
      <w:r w:rsidRPr="006A613D">
        <w:t>An independent investigation is an investigation into an incident which is both commissioned and undertaken independently of th</w:t>
      </w:r>
      <w:r w:rsidR="00633E06">
        <w:t>ose directly responsible for and directly involved in the delivery of the elements</w:t>
      </w:r>
      <w:r w:rsidRPr="006A613D">
        <w:t xml:space="preserve"> that the investigation is considering.</w:t>
      </w:r>
    </w:p>
    <w:p w:rsidR="008A26B4" w:rsidRDefault="008A26B4" w:rsidP="007E6143"/>
    <w:p w:rsidR="007E6143" w:rsidRDefault="00057A68" w:rsidP="007E6143">
      <w:r>
        <w:t>This guidance</w:t>
      </w:r>
      <w:r w:rsidR="007E6143">
        <w:t xml:space="preserve"> considers two types of independent investigation:</w:t>
      </w:r>
    </w:p>
    <w:p w:rsidR="007E6143" w:rsidRDefault="007E6143" w:rsidP="007E6143"/>
    <w:p w:rsidR="007E6143" w:rsidRDefault="007E6143" w:rsidP="0072371B">
      <w:pPr>
        <w:pStyle w:val="ListParagraph"/>
        <w:numPr>
          <w:ilvl w:val="0"/>
          <w:numId w:val="26"/>
        </w:numPr>
      </w:pPr>
      <w:r>
        <w:t>The first is an independent provider-focussed investigation considering the specific care given to a patient or patients by one or more providers</w:t>
      </w:r>
      <w:r w:rsidR="00CC2EEF">
        <w:t>.</w:t>
      </w:r>
      <w:r w:rsidR="000F17B0">
        <w:t xml:space="preserve"> </w:t>
      </w:r>
      <w:r>
        <w:t xml:space="preserve">This type of investigation </w:t>
      </w:r>
      <w:r w:rsidR="00871323">
        <w:t>should</w:t>
      </w:r>
      <w:r>
        <w:t xml:space="preserve"> be commissioned by the commissioner of the care with</w:t>
      </w:r>
      <w:r w:rsidR="00CC2EEF">
        <w:t>in</w:t>
      </w:r>
      <w:r>
        <w:t xml:space="preserve"> which the serious incident occurred and undertaken </w:t>
      </w:r>
      <w:r w:rsidR="0068392D">
        <w:t xml:space="preserve">by individuals who are all </w:t>
      </w:r>
      <w:r>
        <w:t>independent</w:t>
      </w:r>
      <w:r w:rsidR="00057A68">
        <w:t xml:space="preserve"> of the provider(s) in question.</w:t>
      </w:r>
      <w:r w:rsidR="00871323">
        <w:t xml:space="preserve"> </w:t>
      </w:r>
    </w:p>
    <w:p w:rsidR="007E6143" w:rsidRDefault="007E6143" w:rsidP="007E6143">
      <w:pPr>
        <w:pStyle w:val="ListParagraph"/>
      </w:pPr>
    </w:p>
    <w:p w:rsidR="007E6143" w:rsidRDefault="007E6143" w:rsidP="0072371B">
      <w:pPr>
        <w:pStyle w:val="ListParagraph"/>
        <w:numPr>
          <w:ilvl w:val="0"/>
          <w:numId w:val="26"/>
        </w:numPr>
      </w:pPr>
      <w:r>
        <w:t>The second type is a wider independent investigation of the role of the commissioning system or the configuration of services, which must be commissioned and undertaken independently of the aspects of the system that are under investigation, including independently of any directly involved commissioners. I</w:t>
      </w:r>
      <w:r w:rsidR="00057A68">
        <w:t>ncidents</w:t>
      </w:r>
      <w:r>
        <w:t xml:space="preserve"> requiring this type of </w:t>
      </w:r>
      <w:r w:rsidR="00157F75">
        <w:t>investigation will</w:t>
      </w:r>
      <w:r>
        <w:t xml:space="preserve"> usually require a regionally or centrally led response. The most appropriate organisation to commission and quality </w:t>
      </w:r>
      <w:r w:rsidR="00157F75">
        <w:t>assure the</w:t>
      </w:r>
      <w:r>
        <w:t xml:space="preserve"> investigation must be agreed on a case by case basis.</w:t>
      </w:r>
      <w:r w:rsidR="000F17B0">
        <w:t xml:space="preserve"> </w:t>
      </w:r>
    </w:p>
    <w:p w:rsidR="00DE754A" w:rsidRDefault="00DE754A" w:rsidP="007E6143"/>
    <w:p w:rsidR="00633E06" w:rsidRDefault="00F04F26" w:rsidP="007E6143">
      <w:r>
        <w:lastRenderedPageBreak/>
        <w:t xml:space="preserve">Within each Regional Team of NHS England a </w:t>
      </w:r>
      <w:r w:rsidR="00633E06">
        <w:t xml:space="preserve">Regional </w:t>
      </w:r>
      <w:r w:rsidR="0006294F">
        <w:t>i</w:t>
      </w:r>
      <w:r w:rsidR="00633E06">
        <w:t xml:space="preserve">nvestigation </w:t>
      </w:r>
      <w:r w:rsidR="0006294F">
        <w:t>t</w:t>
      </w:r>
      <w:r w:rsidR="00633E06">
        <w:t xml:space="preserve">eam </w:t>
      </w:r>
      <w:r>
        <w:t>has been established. This team</w:t>
      </w:r>
      <w:r w:rsidR="00633E06">
        <w:t>,</w:t>
      </w:r>
      <w:r>
        <w:t xml:space="preserve"> with input from an Independent Investigation Review Group (IIGR)</w:t>
      </w:r>
      <w:r>
        <w:rPr>
          <w:rStyle w:val="FootnoteReference"/>
        </w:rPr>
        <w:footnoteReference w:id="52"/>
      </w:r>
      <w:r>
        <w:t xml:space="preserve"> </w:t>
      </w:r>
      <w:r w:rsidR="006A613D">
        <w:t xml:space="preserve">is responsible for commissioning independent investigation into incidents involving homicide by those in receipt of mental health care (as outlined in </w:t>
      </w:r>
      <w:r w:rsidR="0006294F">
        <w:t>A</w:t>
      </w:r>
      <w:r w:rsidR="006A613D">
        <w:t xml:space="preserve">ppendix 1). </w:t>
      </w:r>
      <w:r w:rsidR="00591F0F">
        <w:t>T</w:t>
      </w:r>
      <w:r w:rsidR="006A613D">
        <w:t xml:space="preserve">his team </w:t>
      </w:r>
      <w:r>
        <w:t>c</w:t>
      </w:r>
      <w:r w:rsidR="009C0069">
        <w:t>an</w:t>
      </w:r>
      <w:r w:rsidR="006A613D">
        <w:t xml:space="preserve"> also</w:t>
      </w:r>
      <w:r w:rsidR="009C0069">
        <w:t xml:space="preserve"> help to assess cases</w:t>
      </w:r>
      <w:r>
        <w:t xml:space="preserve"> </w:t>
      </w:r>
      <w:r w:rsidR="009C0069">
        <w:t>that may require independent investigations</w:t>
      </w:r>
      <w:r w:rsidR="00724E03">
        <w:t xml:space="preserve"> </w:t>
      </w:r>
      <w:r w:rsidR="00633E06">
        <w:t>because the</w:t>
      </w:r>
      <w:r w:rsidR="00724E03">
        <w:t xml:space="preserve"> incident indicate</w:t>
      </w:r>
      <w:r w:rsidR="00633E06">
        <w:t>s</w:t>
      </w:r>
      <w:r w:rsidR="00724E03">
        <w:t xml:space="preserve"> a need to commission a </w:t>
      </w:r>
      <w:r w:rsidR="009C0069" w:rsidRPr="009C0069">
        <w:t>wi</w:t>
      </w:r>
      <w:r w:rsidR="006A613D">
        <w:t>der independent investigation into</w:t>
      </w:r>
      <w:r w:rsidR="009C0069" w:rsidRPr="009C0069">
        <w:t xml:space="preserve"> the role of the commissioning system or the configuration of services</w:t>
      </w:r>
      <w:r w:rsidR="009C0069">
        <w:t xml:space="preserve"> </w:t>
      </w:r>
      <w:r w:rsidR="00853196">
        <w:t xml:space="preserve">or </w:t>
      </w:r>
      <w:r w:rsidR="00795C06">
        <w:t xml:space="preserve">where it is agreed </w:t>
      </w:r>
      <w:r w:rsidR="009C0069">
        <w:t>a regionally led response</w:t>
      </w:r>
      <w:r w:rsidR="00795C06">
        <w:t xml:space="preserve"> is required</w:t>
      </w:r>
      <w:r w:rsidR="009C0069">
        <w:t xml:space="preserve"> due to the scale,</w:t>
      </w:r>
      <w:r w:rsidR="00795C06">
        <w:t xml:space="preserve"> complexity (i.e. number of patients/services users affected/involved, level of public concern/ media interest and number of organisations and partner agencies involved)  and </w:t>
      </w:r>
      <w:r w:rsidR="009C0069">
        <w:t>the potential for cross sector learning.</w:t>
      </w:r>
      <w:r w:rsidR="00633E06">
        <w:t xml:space="preserve"> The commissioning of an investigation into the commissioning system itself and/or an investigation led at the regional level</w:t>
      </w:r>
      <w:r w:rsidR="00724E03">
        <w:t xml:space="preserve"> is ultimately a decision for the </w:t>
      </w:r>
      <w:r w:rsidR="0006294F">
        <w:t>R</w:t>
      </w:r>
      <w:r w:rsidR="00724E03">
        <w:t xml:space="preserve">egional investigation team </w:t>
      </w:r>
      <w:r w:rsidR="00795C06">
        <w:t xml:space="preserve">in conjunction with the IIRG. </w:t>
      </w:r>
    </w:p>
    <w:p w:rsidR="00633E06" w:rsidRDefault="00633E06" w:rsidP="007E6143"/>
    <w:p w:rsidR="00F04F26" w:rsidRDefault="00082FE3" w:rsidP="007E6143">
      <w:r>
        <w:t>Although the regional team may offer support where it is necessary to do so, i</w:t>
      </w:r>
      <w:r w:rsidR="00A87C12">
        <w:t>ndependent investigations</w:t>
      </w:r>
      <w:r>
        <w:t>,</w:t>
      </w:r>
      <w:r w:rsidR="004F0F7A">
        <w:t xml:space="preserve"> and the decision</w:t>
      </w:r>
      <w:r w:rsidR="00A87C12">
        <w:t xml:space="preserve"> to commission independent investigation</w:t>
      </w:r>
      <w:r w:rsidR="006A613D">
        <w:t>s</w:t>
      </w:r>
      <w:r>
        <w:t>,</w:t>
      </w:r>
      <w:r w:rsidR="004F0F7A">
        <w:t xml:space="preserve"> </w:t>
      </w:r>
      <w:r w:rsidR="00591F0F">
        <w:t>should</w:t>
      </w:r>
      <w:r w:rsidR="001E01BC">
        <w:t xml:space="preserve"> be</w:t>
      </w:r>
      <w:r w:rsidR="0000320D">
        <w:t xml:space="preserve"> managed locally by the commissioner of the care in which the incident </w:t>
      </w:r>
      <w:r w:rsidR="00A87C12">
        <w:t>occurred</w:t>
      </w:r>
      <w:r w:rsidR="00591F0F">
        <w:t xml:space="preserve"> wherever possible. </w:t>
      </w:r>
      <w:r w:rsidR="00853196" w:rsidRPr="00853196">
        <w:t>Local management and ownership of Serious Incidents is of fundamental importance to ensuring appropriate and timely action</w:t>
      </w:r>
      <w:r w:rsidR="00E6219A">
        <w:t>.</w:t>
      </w:r>
    </w:p>
    <w:p w:rsidR="007102BB" w:rsidRDefault="007102BB" w:rsidP="007E6143">
      <w:pPr>
        <w:rPr>
          <w:b/>
        </w:rPr>
      </w:pPr>
    </w:p>
    <w:p w:rsidR="00157F75" w:rsidRDefault="00157F75" w:rsidP="007E6143">
      <w:pPr>
        <w:rPr>
          <w:b/>
        </w:rPr>
      </w:pPr>
      <w:r w:rsidRPr="00157F75">
        <w:rPr>
          <w:b/>
        </w:rPr>
        <w:t>When to conduct an independent investigation?</w:t>
      </w:r>
    </w:p>
    <w:p w:rsidR="00057A68" w:rsidRDefault="00057A68" w:rsidP="00057A68">
      <w:pPr>
        <w:rPr>
          <w:b/>
        </w:rPr>
      </w:pPr>
    </w:p>
    <w:p w:rsidR="00057A68" w:rsidRPr="00057A68" w:rsidRDefault="000F17B0" w:rsidP="00057A68">
      <w:r>
        <w:t>Independent investigations</w:t>
      </w:r>
      <w:r w:rsidRPr="00057A68">
        <w:t xml:space="preserve"> </w:t>
      </w:r>
      <w:r w:rsidR="00057A68" w:rsidRPr="00057A68">
        <w:t>are required where the integrity of the</w:t>
      </w:r>
      <w:r w:rsidR="00591F0F">
        <w:t xml:space="preserve"> internal</w:t>
      </w:r>
      <w:r w:rsidR="00057A68" w:rsidRPr="00057A68">
        <w:t xml:space="preserve"> investigation</w:t>
      </w:r>
      <w:r w:rsidR="007102BB">
        <w:t xml:space="preserve"> and its findings are</w:t>
      </w:r>
      <w:r w:rsidR="00057A68" w:rsidRPr="00057A68">
        <w:t xml:space="preserve"> likely to be challenged or where it will be difficult for an organisation to conduct a</w:t>
      </w:r>
      <w:r w:rsidR="007102BB">
        <w:t xml:space="preserve"> proportionate and</w:t>
      </w:r>
      <w:r w:rsidR="00057A68" w:rsidRPr="00057A68">
        <w:t xml:space="preserve"> objective investigation internally due to the size of organisation or the individuals or number of organisations involved.</w:t>
      </w:r>
      <w:r w:rsidR="00E6219A">
        <w:t xml:space="preserve"> </w:t>
      </w:r>
      <w:r w:rsidR="007102BB" w:rsidRPr="007102BB">
        <w:t>Independent investigations avoid conflicts of interest and should be considered if such conflicts exist or are perceived to exist.</w:t>
      </w:r>
    </w:p>
    <w:p w:rsidR="00057A68" w:rsidRPr="00057A68" w:rsidRDefault="00057A68" w:rsidP="00057A68"/>
    <w:p w:rsidR="00157F75" w:rsidRDefault="00057A68" w:rsidP="007E6143">
      <w:r w:rsidRPr="00057A68">
        <w:t>An independent investigation can be used as a means of assessing whether a provider’s account of an incident has been fairly presented to give credit to the findings</w:t>
      </w:r>
      <w:r w:rsidR="00DE754A">
        <w:t xml:space="preserve"> and assurance that lessons will be learnt to prevent recurrence</w:t>
      </w:r>
      <w:r w:rsidRPr="00057A68">
        <w:t>, or it can be used to obtain an objective assessment of the nature and causes of an incident irrespective of whether or not any investigative work has been or is to be undertaken by the service provider</w:t>
      </w:r>
      <w:r w:rsidR="008413C8">
        <w:t>.</w:t>
      </w:r>
    </w:p>
    <w:p w:rsidR="007E6143" w:rsidRDefault="007E6143" w:rsidP="007E6143"/>
    <w:p w:rsidR="008413C8" w:rsidRDefault="007E6143" w:rsidP="007E6143">
      <w:r>
        <w:t>An independent investigation</w:t>
      </w:r>
      <w:r w:rsidR="006A613D">
        <w:t xml:space="preserve"> should</w:t>
      </w:r>
      <w:r w:rsidR="00591F0F">
        <w:t xml:space="preserve"> </w:t>
      </w:r>
      <w:r>
        <w:t>be considered for the following</w:t>
      </w:r>
      <w:r w:rsidR="00591F0F">
        <w:t xml:space="preserve"> </w:t>
      </w:r>
      <w:r>
        <w:t>circumstances</w:t>
      </w:r>
      <w:r w:rsidR="008413C8">
        <w:t>:</w:t>
      </w:r>
    </w:p>
    <w:p w:rsidR="00157F75" w:rsidRDefault="000343D7" w:rsidP="007E6143">
      <w:r>
        <w:t xml:space="preserve"> </w:t>
      </w:r>
    </w:p>
    <w:p w:rsidR="006D2CEA" w:rsidRDefault="00057A68" w:rsidP="0072371B">
      <w:pPr>
        <w:pStyle w:val="ListParagraph"/>
        <w:numPr>
          <w:ilvl w:val="0"/>
          <w:numId w:val="27"/>
        </w:numPr>
      </w:pPr>
      <w:r>
        <w:t>A</w:t>
      </w:r>
      <w:r w:rsidR="007E6143">
        <w:t xml:space="preserve"> serious incident where the organisation</w:t>
      </w:r>
      <w:r w:rsidR="00232CA2">
        <w:t xml:space="preserve"> is unable</w:t>
      </w:r>
      <w:r w:rsidR="007E6143">
        <w:t xml:space="preserve"> to conduct a</w:t>
      </w:r>
      <w:r w:rsidR="00232CA2">
        <w:t>n</w:t>
      </w:r>
      <w:r w:rsidR="007E6143">
        <w:t xml:space="preserve"> effective</w:t>
      </w:r>
      <w:r w:rsidR="001E01BC">
        <w:t>,</w:t>
      </w:r>
      <w:r w:rsidR="007E6143">
        <w:t xml:space="preserve"> objective</w:t>
      </w:r>
      <w:r w:rsidR="00E6219A">
        <w:t>, timely</w:t>
      </w:r>
      <w:r w:rsidR="00DE754A">
        <w:t xml:space="preserve"> and </w:t>
      </w:r>
      <w:r w:rsidR="001E01BC">
        <w:t>proportionate</w:t>
      </w:r>
      <w:r w:rsidR="007E6143">
        <w:t xml:space="preserve"> investigation</w:t>
      </w:r>
      <w:r w:rsidR="00E55F68">
        <w:t xml:space="preserve">. </w:t>
      </w:r>
      <w:r w:rsidR="00AA19DB">
        <w:t xml:space="preserve">This is particularly </w:t>
      </w:r>
      <w:r w:rsidR="00750B4A">
        <w:t>relevant to incidents</w:t>
      </w:r>
      <w:r w:rsidR="006D2CEA" w:rsidRPr="006D2CEA">
        <w:t xml:space="preserve"> </w:t>
      </w:r>
      <w:r w:rsidR="006D2CEA">
        <w:t xml:space="preserve">where the </w:t>
      </w:r>
      <w:r w:rsidR="006D2CEA" w:rsidRPr="006D2CEA">
        <w:t xml:space="preserve">obligation on the authorities to account for the treatment of an individual is particularly stringent </w:t>
      </w:r>
      <w:r w:rsidR="006D2CEA">
        <w:t>including:</w:t>
      </w:r>
    </w:p>
    <w:p w:rsidR="007E6143" w:rsidRDefault="006D2CEA" w:rsidP="0072371B">
      <w:pPr>
        <w:pStyle w:val="ListParagraph"/>
        <w:numPr>
          <w:ilvl w:val="1"/>
          <w:numId w:val="27"/>
        </w:numPr>
      </w:pPr>
      <w:r>
        <w:lastRenderedPageBreak/>
        <w:t>D</w:t>
      </w:r>
      <w:r w:rsidR="007E6143">
        <w:t>eath</w:t>
      </w:r>
      <w:r w:rsidR="00D670F2">
        <w:t>s</w:t>
      </w:r>
      <w:r w:rsidR="007E6143">
        <w:t xml:space="preserve"> </w:t>
      </w:r>
      <w:r w:rsidR="008C0480">
        <w:t xml:space="preserve">(and near deaths </w:t>
      </w:r>
      <w:r w:rsidR="00AA19DB">
        <w:t>resulting in severe harm</w:t>
      </w:r>
      <w:r w:rsidR="008C0480">
        <w:t xml:space="preserve">) </w:t>
      </w:r>
      <w:r w:rsidR="007E6143">
        <w:t>of those detai</w:t>
      </w:r>
      <w:r w:rsidR="00E55F68">
        <w:t xml:space="preserve">ned under the Mental Health Act </w:t>
      </w:r>
      <w:r w:rsidR="007E6143">
        <w:t>(</w:t>
      </w:r>
      <w:r w:rsidR="00E55F68">
        <w:t>1983</w:t>
      </w:r>
      <w:r w:rsidR="007E6143">
        <w:t>)</w:t>
      </w:r>
      <w:r w:rsidR="0043110F">
        <w:t xml:space="preserve"> and</w:t>
      </w:r>
      <w:r>
        <w:t>,</w:t>
      </w:r>
      <w:r w:rsidR="00204C5B">
        <w:t xml:space="preserve"> in certain circumstances</w:t>
      </w:r>
      <w:r>
        <w:t>,</w:t>
      </w:r>
      <w:r w:rsidR="0043110F">
        <w:t xml:space="preserve"> </w:t>
      </w:r>
      <w:r w:rsidR="00F47D2C">
        <w:t xml:space="preserve">the deaths of </w:t>
      </w:r>
      <w:r w:rsidR="00204C5B">
        <w:t xml:space="preserve">informal </w:t>
      </w:r>
      <w:r w:rsidR="0043110F">
        <w:t>psychiatric</w:t>
      </w:r>
      <w:r w:rsidR="00DC1E90">
        <w:t xml:space="preserve"> in</w:t>
      </w:r>
      <w:r w:rsidR="00D670F2">
        <w:t>-</w:t>
      </w:r>
      <w:r w:rsidR="00DC1E90">
        <w:t>patient</w:t>
      </w:r>
      <w:r w:rsidR="00204C5B">
        <w:t>s</w:t>
      </w:r>
      <w:r w:rsidR="00F47D2C">
        <w:rPr>
          <w:rStyle w:val="FootnoteReference"/>
        </w:rPr>
        <w:footnoteReference w:id="53"/>
      </w:r>
      <w:r w:rsidR="007E6143">
        <w:t xml:space="preserve"> where;   </w:t>
      </w:r>
    </w:p>
    <w:p w:rsidR="007E6143" w:rsidRDefault="007E6143" w:rsidP="007E6143">
      <w:pPr>
        <w:pStyle w:val="ListParagraph"/>
        <w:ind w:left="1440"/>
      </w:pPr>
    </w:p>
    <w:p w:rsidR="006D2CEA" w:rsidRDefault="00633E06" w:rsidP="0072371B">
      <w:pPr>
        <w:pStyle w:val="ListParagraph"/>
        <w:numPr>
          <w:ilvl w:val="2"/>
          <w:numId w:val="72"/>
        </w:numPr>
      </w:pPr>
      <w:r>
        <w:t xml:space="preserve">the </w:t>
      </w:r>
      <w:r w:rsidR="007E6143">
        <w:t>cause of death is unknown</w:t>
      </w:r>
      <w:r w:rsidR="00F47D2C">
        <w:t>;</w:t>
      </w:r>
      <w:r w:rsidR="007E6143">
        <w:t xml:space="preserve"> and/or</w:t>
      </w:r>
    </w:p>
    <w:p w:rsidR="007E6143" w:rsidRDefault="00633E06" w:rsidP="0072371B">
      <w:pPr>
        <w:pStyle w:val="ListParagraph"/>
        <w:numPr>
          <w:ilvl w:val="2"/>
          <w:numId w:val="72"/>
        </w:numPr>
      </w:pPr>
      <w:r>
        <w:t xml:space="preserve">where </w:t>
      </w:r>
      <w:r w:rsidR="007E6143">
        <w:t>there is reason to believe the death may have been avoidable or unexpected i.e. not caused by the natural course of the patient’s illness or underlying medical condition</w:t>
      </w:r>
      <w:r w:rsidR="005F69D6">
        <w:t xml:space="preserve"> when this is managed in line with best practice</w:t>
      </w:r>
      <w:r w:rsidR="007E6143">
        <w:t>. This includes suicide and self-inflicted death</w:t>
      </w:r>
      <w:r w:rsidR="004D6C81">
        <w:t xml:space="preserve"> (NB: this also includes the death of recently transferred prisoners. Healthcare providers must inform the relevant prison service if there is reason to suggest that the care they received in prison could have contributed towards their death</w:t>
      </w:r>
      <w:r w:rsidR="0043110F">
        <w:t>.</w:t>
      </w:r>
      <w:r w:rsidR="004D6C81">
        <w:t>)</w:t>
      </w:r>
    </w:p>
    <w:p w:rsidR="006D2CEA" w:rsidRDefault="006D2CEA" w:rsidP="006D2CEA">
      <w:pPr>
        <w:pStyle w:val="ListParagraph"/>
      </w:pPr>
    </w:p>
    <w:p w:rsidR="007E6143" w:rsidRDefault="007E6143" w:rsidP="0072371B">
      <w:pPr>
        <w:pStyle w:val="ListParagraph"/>
        <w:numPr>
          <w:ilvl w:val="0"/>
          <w:numId w:val="27"/>
        </w:numPr>
      </w:pPr>
      <w:r>
        <w:t>Where the commissioner(s) or provider(s) or the patient/family feel that the nature of the potential causes of an incident warrant independent scrutiny in order to ensure lessons are identified and acted upon in a robust, open and transparent manner</w:t>
      </w:r>
      <w:r w:rsidR="005F69D6">
        <w:rPr>
          <w:rStyle w:val="FootnoteReference"/>
        </w:rPr>
        <w:footnoteReference w:id="54"/>
      </w:r>
      <w:r>
        <w:t xml:space="preserve">. </w:t>
      </w:r>
    </w:p>
    <w:p w:rsidR="00157F75" w:rsidRDefault="00157F75" w:rsidP="00157F75"/>
    <w:p w:rsidR="007E6143" w:rsidRDefault="007E6143" w:rsidP="0072371B">
      <w:pPr>
        <w:pStyle w:val="ListParagraph"/>
        <w:numPr>
          <w:ilvl w:val="0"/>
          <w:numId w:val="27"/>
        </w:numPr>
      </w:pPr>
      <w:r>
        <w:t>Where incidents represent a significant systemic failure leading to wide-spread public concern and independent investigation is required to ensure public confidence in the findings.</w:t>
      </w:r>
    </w:p>
    <w:p w:rsidR="00157F75" w:rsidRDefault="00157F75" w:rsidP="00157F75"/>
    <w:p w:rsidR="00A61E27" w:rsidRDefault="007E6143" w:rsidP="0072371B">
      <w:pPr>
        <w:pStyle w:val="ListParagraph"/>
        <w:numPr>
          <w:ilvl w:val="0"/>
          <w:numId w:val="27"/>
        </w:numPr>
      </w:pPr>
      <w:r>
        <w:t>Where it is necessary to examine the role of the wider commissioning system or configuration of services (involving multi-agencies/organisations) in the causation of a serious incident</w:t>
      </w:r>
      <w:r w:rsidR="00A61E27">
        <w:t xml:space="preserve"> or multiple serious incidents.</w:t>
      </w:r>
    </w:p>
    <w:p w:rsidR="001E01BC" w:rsidRDefault="001E01BC" w:rsidP="00335DAC"/>
    <w:p w:rsidR="000F17B0" w:rsidRDefault="000F17B0" w:rsidP="0072371B">
      <w:pPr>
        <w:pStyle w:val="ListParagraph"/>
        <w:numPr>
          <w:ilvl w:val="0"/>
          <w:numId w:val="27"/>
        </w:numPr>
      </w:pPr>
      <w:r>
        <w:t xml:space="preserve">As detailed in </w:t>
      </w:r>
      <w:r w:rsidR="0006294F">
        <w:t>A</w:t>
      </w:r>
      <w:r>
        <w:t>ppendix 1, an independent investigati</w:t>
      </w:r>
      <w:r w:rsidR="00CC2EEF">
        <w:t>on should be commissioned by NHS England’s</w:t>
      </w:r>
      <w:r>
        <w:t xml:space="preserve"> regional investigations team when </w:t>
      </w:r>
      <w:r w:rsidRPr="000F17B0">
        <w:t>a homicide has been committed by a person who is, or has been, subject to a care programme approach, or is under the care of specialist mental health se</w:t>
      </w:r>
      <w:r>
        <w:t>rvices, in the past six months</w:t>
      </w:r>
      <w:r w:rsidR="00152E6A">
        <w:rPr>
          <w:rStyle w:val="FootnoteReference"/>
        </w:rPr>
        <w:footnoteReference w:id="55"/>
      </w:r>
      <w:r>
        <w:t xml:space="preserve"> </w:t>
      </w:r>
      <w:r w:rsidRPr="000F17B0">
        <w:t>prior to the event</w:t>
      </w:r>
      <w:r w:rsidR="00152E6A">
        <w:t>. A</w:t>
      </w:r>
      <w:r>
        <w:t xml:space="preserve">ppendix 1 </w:t>
      </w:r>
      <w:r w:rsidR="00152E6A">
        <w:t>describe</w:t>
      </w:r>
      <w:r w:rsidR="00CC2EEF">
        <w:t>s</w:t>
      </w:r>
      <w:r w:rsidR="00152E6A">
        <w:t xml:space="preserve"> the procedures that must be followed in such circumstances. </w:t>
      </w:r>
    </w:p>
    <w:p w:rsidR="007E6143" w:rsidRDefault="007E6143" w:rsidP="007E6143"/>
    <w:p w:rsidR="00A61E27" w:rsidRDefault="00A61E27" w:rsidP="007E6143"/>
    <w:p w:rsidR="007E6143" w:rsidRPr="00157F75" w:rsidRDefault="007E6143" w:rsidP="007E6143">
      <w:pPr>
        <w:rPr>
          <w:b/>
        </w:rPr>
      </w:pPr>
      <w:r w:rsidRPr="00157F75">
        <w:rPr>
          <w:b/>
        </w:rPr>
        <w:t>Declaration and Immediate Action</w:t>
      </w:r>
    </w:p>
    <w:p w:rsidR="007E6143" w:rsidRDefault="007E6143" w:rsidP="007E6143"/>
    <w:p w:rsidR="007E6143" w:rsidRDefault="007E6143" w:rsidP="007E6143">
      <w:r>
        <w:t xml:space="preserve">The processes/actions described in </w:t>
      </w:r>
      <w:r w:rsidR="0006294F">
        <w:t>P</w:t>
      </w:r>
      <w:r w:rsidR="00E55F68">
        <w:t xml:space="preserve">art </w:t>
      </w:r>
      <w:r w:rsidR="0006294F">
        <w:t>T</w:t>
      </w:r>
      <w:r w:rsidR="00E55F68">
        <w:t>hree; section 2</w:t>
      </w:r>
      <w:r>
        <w:t xml:space="preserve"> must be followed.</w:t>
      </w:r>
    </w:p>
    <w:p w:rsidR="007E6143" w:rsidRDefault="007E6143" w:rsidP="007E6143">
      <w:r>
        <w:t>In some cases it will be immediately possible to identify from the initial review</w:t>
      </w:r>
      <w:r w:rsidR="00633E06">
        <w:t>,</w:t>
      </w:r>
      <w:r>
        <w:t xml:space="preserve"> or even before</w:t>
      </w:r>
      <w:r w:rsidR="00633E06">
        <w:t>,</w:t>
      </w:r>
      <w:r>
        <w:t xml:space="preserve"> that an incident requires an independent investigation. Where this is the case, </w:t>
      </w:r>
      <w:r>
        <w:lastRenderedPageBreak/>
        <w:t xml:space="preserve">then the commissioner should take the necessary action to commission an independent investigation to ensure that action is taken without delay. </w:t>
      </w:r>
      <w:r w:rsidR="001E01BC">
        <w:t xml:space="preserve">It most cases however, the provider will complete their own internal investigation and this will </w:t>
      </w:r>
      <w:r w:rsidR="00591F0F">
        <w:t>be reviewed by the relevant commissioners</w:t>
      </w:r>
      <w:r w:rsidR="001E01BC">
        <w:t xml:space="preserve"> before the need to commission an independent investigation is agreed. </w:t>
      </w:r>
    </w:p>
    <w:p w:rsidR="007E6143" w:rsidRDefault="007E6143" w:rsidP="007E6143">
      <w:r>
        <w:t xml:space="preserve"> </w:t>
      </w:r>
    </w:p>
    <w:p w:rsidR="007E6143" w:rsidRDefault="007E6143" w:rsidP="007E6143">
      <w:r>
        <w:t>It is fundamental that the patient</w:t>
      </w:r>
      <w:r w:rsidR="006A613D">
        <w:t>s/services users</w:t>
      </w:r>
      <w:r>
        <w:t xml:space="preserve"> and/or family/carers are </w:t>
      </w:r>
      <w:r w:rsidR="002666DB">
        <w:t xml:space="preserve">involved from the very beginning of the </w:t>
      </w:r>
      <w:r>
        <w:t xml:space="preserve">process and that their needs are assessed to ensure they are appropriately supported (see part three; section </w:t>
      </w:r>
      <w:r w:rsidR="00E55F68">
        <w:t>4.2</w:t>
      </w:r>
      <w:r>
        <w:t xml:space="preserve"> for further details</w:t>
      </w:r>
      <w:r w:rsidR="00E55F68">
        <w:t>)</w:t>
      </w:r>
      <w:r>
        <w:t xml:space="preserve">. </w:t>
      </w:r>
    </w:p>
    <w:p w:rsidR="007E6143" w:rsidRDefault="007E6143" w:rsidP="007E6143"/>
    <w:p w:rsidR="00157F75" w:rsidRDefault="00157F75" w:rsidP="007E6143"/>
    <w:p w:rsidR="007E6143" w:rsidRPr="00157F75" w:rsidRDefault="007E6143" w:rsidP="007E6143">
      <w:pPr>
        <w:rPr>
          <w:b/>
        </w:rPr>
      </w:pPr>
      <w:r w:rsidRPr="00157F75">
        <w:rPr>
          <w:b/>
        </w:rPr>
        <w:t>Commissioning an independent Investigation</w:t>
      </w:r>
    </w:p>
    <w:p w:rsidR="007E6143" w:rsidRDefault="007E6143" w:rsidP="007E6143"/>
    <w:p w:rsidR="005676D0" w:rsidRDefault="007E6143" w:rsidP="007E6143">
      <w:r>
        <w:t xml:space="preserve">The decision to commission an independent investigation can be made at any stage of the incident management process, depending on the nature and circumstances of the incident. </w:t>
      </w:r>
    </w:p>
    <w:p w:rsidR="005676D0" w:rsidRDefault="005676D0" w:rsidP="007E6143"/>
    <w:p w:rsidR="005676D0" w:rsidRDefault="00591F0F" w:rsidP="007E6143">
      <w:r>
        <w:t>For provider-</w:t>
      </w:r>
      <w:r w:rsidR="005676D0" w:rsidRPr="005676D0">
        <w:t>focused independent investigations, it is the commissioner of the care within which the se</w:t>
      </w:r>
      <w:r>
        <w:t>rious incident occurred who should</w:t>
      </w:r>
      <w:r w:rsidR="005676D0" w:rsidRPr="005676D0">
        <w:t xml:space="preserve"> make the final decision on the typ</w:t>
      </w:r>
      <w:r w:rsidR="005676D0">
        <w:t>e of investigation required. Commissioners may wait until they have received the provider’s internal report</w:t>
      </w:r>
      <w:r w:rsidR="003917D3">
        <w:t xml:space="preserve"> (which should be completed within 60 days</w:t>
      </w:r>
      <w:r w:rsidR="00E6219A">
        <w:t>,</w:t>
      </w:r>
      <w:r w:rsidR="003917D3">
        <w:t xml:space="preserve"> in line with section three of this </w:t>
      </w:r>
      <w:r w:rsidR="005A7486">
        <w:t>Framework</w:t>
      </w:r>
      <w:r w:rsidR="003917D3">
        <w:t>)</w:t>
      </w:r>
      <w:r>
        <w:t xml:space="preserve"> before making the decision as to whether or not to</w:t>
      </w:r>
      <w:r w:rsidR="005676D0">
        <w:t xml:space="preserve"> commission an independent investigation. </w:t>
      </w:r>
    </w:p>
    <w:p w:rsidR="005676D0" w:rsidRDefault="005676D0" w:rsidP="007E6143"/>
    <w:p w:rsidR="00591F0F" w:rsidRDefault="005676D0" w:rsidP="007E6143">
      <w:r>
        <w:t>I</w:t>
      </w:r>
      <w:r w:rsidRPr="005676D0">
        <w:t>n exceptional circumstances (where either the scale, severity or overall complex</w:t>
      </w:r>
      <w:r w:rsidR="003917D3">
        <w:t xml:space="preserve">ity means the investigation </w:t>
      </w:r>
      <w:r w:rsidRPr="005676D0">
        <w:t>cannot be managed locally) or those which must consider the wider commissioning system or the configuration of services, where the decision to undertake and commission an investigation must be taken independently of the aspects of the system that are under investigation, including any directly involved commissioners, a regionally or centrally led response may be require</w:t>
      </w:r>
      <w:r w:rsidR="009441EB">
        <w:t>d</w:t>
      </w:r>
      <w:r w:rsidRPr="005676D0">
        <w:t>.</w:t>
      </w:r>
    </w:p>
    <w:p w:rsidR="00591F0F" w:rsidRDefault="00591F0F" w:rsidP="007E6143"/>
    <w:p w:rsidR="007E6143" w:rsidRDefault="005676D0" w:rsidP="007E6143">
      <w:r w:rsidRPr="005676D0">
        <w:t>For a regionally led response</w:t>
      </w:r>
      <w:r w:rsidR="009441EB">
        <w:t>,</w:t>
      </w:r>
      <w:r w:rsidRPr="005676D0">
        <w:t xml:space="preserve"> the </w:t>
      </w:r>
      <w:r w:rsidR="009441EB">
        <w:t>R</w:t>
      </w:r>
      <w:r w:rsidR="009441EB" w:rsidRPr="005676D0">
        <w:t xml:space="preserve">egional </w:t>
      </w:r>
      <w:r w:rsidR="009441EB">
        <w:t>I</w:t>
      </w:r>
      <w:r w:rsidR="009441EB" w:rsidRPr="005676D0">
        <w:t xml:space="preserve">nvestigation </w:t>
      </w:r>
      <w:r w:rsidR="009441EB">
        <w:t>T</w:t>
      </w:r>
      <w:r w:rsidR="009441EB" w:rsidRPr="005676D0">
        <w:t xml:space="preserve">eam </w:t>
      </w:r>
      <w:r w:rsidRPr="005676D0">
        <w:t>(in consultation with the Independent Investigation Review Group) will make the final decision on the type of investigation required. The Central Team (including appropriate</w:t>
      </w:r>
      <w:r w:rsidR="00591F0F">
        <w:t xml:space="preserve"> national directors</w:t>
      </w:r>
      <w:r w:rsidRPr="005676D0">
        <w:t>) will agree a response for national issues. The appropriate response must be considered on an individual basis.</w:t>
      </w:r>
      <w:r>
        <w:t xml:space="preserve"> </w:t>
      </w:r>
      <w:r w:rsidR="003917D3">
        <w:t xml:space="preserve">Independent investigations of this nature </w:t>
      </w:r>
      <w:r w:rsidR="007E6143">
        <w:t xml:space="preserve">will usually commence after </w:t>
      </w:r>
      <w:r>
        <w:t xml:space="preserve">the </w:t>
      </w:r>
      <w:r w:rsidR="007E6143">
        <w:t>relevant provider-focussed (</w:t>
      </w:r>
      <w:r>
        <w:t xml:space="preserve">either </w:t>
      </w:r>
      <w:r w:rsidR="007E6143">
        <w:t>internal or independent) investigations are complete</w:t>
      </w:r>
      <w:r w:rsidR="003917D3">
        <w:t xml:space="preserve">. </w:t>
      </w:r>
      <w:r w:rsidR="00DA1B3C">
        <w:t xml:space="preserve">It is important that all </w:t>
      </w:r>
      <w:r w:rsidR="003917D3">
        <w:t>pr</w:t>
      </w:r>
      <w:r w:rsidR="002A2972">
        <w:t>oceeding</w:t>
      </w:r>
      <w:r w:rsidR="003917D3">
        <w:t xml:space="preserve"> </w:t>
      </w:r>
      <w:r>
        <w:t xml:space="preserve">investigation </w:t>
      </w:r>
      <w:r w:rsidR="00DA1B3C">
        <w:t xml:space="preserve">reports are made available </w:t>
      </w:r>
      <w:r w:rsidR="00E6219A">
        <w:t xml:space="preserve">to </w:t>
      </w:r>
      <w:r w:rsidR="00DA1B3C">
        <w:t>the</w:t>
      </w:r>
      <w:r>
        <w:t xml:space="preserve"> independent investigating team</w:t>
      </w:r>
      <w:r w:rsidR="00DA1B3C">
        <w:t xml:space="preserve"> </w:t>
      </w:r>
      <w:r>
        <w:t>to help inform their investigation.</w:t>
      </w:r>
    </w:p>
    <w:p w:rsidR="007E6143" w:rsidRDefault="007E6143" w:rsidP="007E6143"/>
    <w:p w:rsidR="002666DB" w:rsidRPr="00157F75" w:rsidRDefault="002666DB" w:rsidP="002666DB">
      <w:pPr>
        <w:rPr>
          <w:b/>
        </w:rPr>
      </w:pPr>
      <w:r w:rsidRPr="00157F75">
        <w:rPr>
          <w:b/>
        </w:rPr>
        <w:t xml:space="preserve">Multi-agency working </w:t>
      </w:r>
    </w:p>
    <w:p w:rsidR="002666DB" w:rsidRDefault="002666DB" w:rsidP="002666DB"/>
    <w:p w:rsidR="002666DB" w:rsidRDefault="002A2972" w:rsidP="002666DB">
      <w:r>
        <w:t>T</w:t>
      </w:r>
      <w:r w:rsidR="002666DB">
        <w:t>he principles for collaboration and partnership working as set out in part one</w:t>
      </w:r>
      <w:r w:rsidR="003917D3">
        <w:t xml:space="preserve"> of</w:t>
      </w:r>
      <w:r w:rsidR="002666DB">
        <w:t xml:space="preserve"> </w:t>
      </w:r>
      <w:r w:rsidR="003917D3">
        <w:t>this</w:t>
      </w:r>
      <w:r w:rsidR="002666DB">
        <w:t xml:space="preserve"> the </w:t>
      </w:r>
      <w:r w:rsidR="005A7486">
        <w:t>Framework</w:t>
      </w:r>
      <w:r w:rsidR="002666DB">
        <w:t xml:space="preserve"> must be followed. In line with this there should be no automatic bar to prevent a ‘health</w:t>
      </w:r>
      <w:r w:rsidR="009441EB">
        <w:t>-</w:t>
      </w:r>
      <w:r w:rsidR="002666DB">
        <w:t>led’ investigation because there is a parallel police investigation</w:t>
      </w:r>
      <w:r w:rsidR="00E6219A">
        <w:t xml:space="preserve"> underway</w:t>
      </w:r>
      <w:r w:rsidR="002666DB">
        <w:t xml:space="preserve"> but there may be exceptional cases and agencies should cooperate with one another to ensure the investigation can be managed appropriately (refer to part one; section 1.5 for further details).</w:t>
      </w:r>
    </w:p>
    <w:p w:rsidR="002666DB" w:rsidRDefault="002666DB" w:rsidP="007E6143"/>
    <w:p w:rsidR="007E6143" w:rsidRPr="00157F75" w:rsidRDefault="007E6143" w:rsidP="007E6143">
      <w:pPr>
        <w:rPr>
          <w:b/>
        </w:rPr>
      </w:pPr>
      <w:r w:rsidRPr="00157F75">
        <w:rPr>
          <w:b/>
        </w:rPr>
        <w:t>Starting the commissioning process</w:t>
      </w:r>
    </w:p>
    <w:p w:rsidR="00157F75" w:rsidRDefault="00157F75" w:rsidP="007E6143"/>
    <w:p w:rsidR="007E6143" w:rsidRDefault="007E6143" w:rsidP="007E6143">
      <w:r>
        <w:lastRenderedPageBreak/>
        <w:t xml:space="preserve">A designated individual within the appropriate organisation </w:t>
      </w:r>
      <w:r w:rsidR="00057A68">
        <w:t>must be</w:t>
      </w:r>
      <w:r>
        <w:t xml:space="preserve"> identified to lead commissioning and project management activity including allocation of the cost of the investigation.  </w:t>
      </w:r>
    </w:p>
    <w:p w:rsidR="00057A68" w:rsidRDefault="00057A68" w:rsidP="007E6143"/>
    <w:p w:rsidR="007E6143" w:rsidRDefault="007E6143" w:rsidP="007E6143">
      <w:r>
        <w:t>Appropriate steps must then be taken including</w:t>
      </w:r>
      <w:r w:rsidR="009441EB">
        <w:t xml:space="preserve"> the following</w:t>
      </w:r>
      <w:r>
        <w:t>;</w:t>
      </w:r>
    </w:p>
    <w:p w:rsidR="00157F75" w:rsidRDefault="00157F75" w:rsidP="007E6143"/>
    <w:p w:rsidR="007E6143" w:rsidRDefault="007E6143" w:rsidP="0072371B">
      <w:pPr>
        <w:pStyle w:val="ListParagraph"/>
        <w:numPr>
          <w:ilvl w:val="0"/>
          <w:numId w:val="28"/>
        </w:numPr>
        <w:ind w:left="567" w:hanging="567"/>
      </w:pPr>
      <w:r>
        <w:t>Listing all the agencies that have a stake in the care of those involved in the incident and ensuring that they are aware of the process and are involved in the commissioning process if appropriate</w:t>
      </w:r>
      <w:r w:rsidR="009441EB">
        <w:t>.</w:t>
      </w:r>
    </w:p>
    <w:p w:rsidR="007E6143" w:rsidRDefault="007E6143" w:rsidP="0072371B">
      <w:pPr>
        <w:pStyle w:val="ListParagraph"/>
        <w:numPr>
          <w:ilvl w:val="0"/>
          <w:numId w:val="28"/>
        </w:numPr>
        <w:ind w:left="567" w:hanging="567"/>
      </w:pPr>
      <w:r>
        <w:t>Identifying any legal issues that may be relevant to the independent investigation, or any court proceedings, and obtaining the appropriate legal advice.</w:t>
      </w:r>
    </w:p>
    <w:p w:rsidR="007E6143" w:rsidRDefault="007E6143" w:rsidP="0072371B">
      <w:pPr>
        <w:pStyle w:val="ListParagraph"/>
        <w:numPr>
          <w:ilvl w:val="0"/>
          <w:numId w:val="28"/>
        </w:numPr>
        <w:ind w:left="567" w:hanging="567"/>
      </w:pPr>
      <w:r>
        <w:t>Obtaining fully informed, written consent (if appropriate) from the service user(s) involved in the incident for the release of their medical records to the investigation team, and agreement that any personal details can be included in a public report</w:t>
      </w:r>
      <w:r w:rsidR="00C66770">
        <w:rPr>
          <w:rStyle w:val="FootnoteReference"/>
        </w:rPr>
        <w:footnoteReference w:id="56"/>
      </w:r>
      <w:r>
        <w:t>.</w:t>
      </w:r>
    </w:p>
    <w:p w:rsidR="007E6143" w:rsidRDefault="007E6143" w:rsidP="0072371B">
      <w:pPr>
        <w:pStyle w:val="ListParagraph"/>
        <w:numPr>
          <w:ilvl w:val="0"/>
          <w:numId w:val="28"/>
        </w:numPr>
        <w:ind w:left="567" w:hanging="567"/>
      </w:pPr>
      <w:r>
        <w:t>In the event of the service user not giving consent or lacking capacity to consent the commissioner will need legal advice</w:t>
      </w:r>
      <w:r w:rsidR="00987BD7">
        <w:t xml:space="preserve"> and advice from Caldicott Guardian</w:t>
      </w:r>
      <w:r>
        <w:t xml:space="preserve"> to agree a way forward.</w:t>
      </w:r>
    </w:p>
    <w:p w:rsidR="007E6143" w:rsidRDefault="007E6143" w:rsidP="0072371B">
      <w:pPr>
        <w:pStyle w:val="ListParagraph"/>
        <w:numPr>
          <w:ilvl w:val="0"/>
          <w:numId w:val="28"/>
        </w:numPr>
        <w:ind w:left="567" w:hanging="567"/>
      </w:pPr>
      <w:r>
        <w:t>Arranging a meeting between the investigation team, trust representatives, the police and representatives from any other agencies who have agreed to participate in the investigation. Timescales, ground rules, sharing of information and terms of reference should be agreed and shared. Victims/family/carers must also be involved and kept fully informed regarding discussion about the scale and scope of the investigation</w:t>
      </w:r>
    </w:p>
    <w:p w:rsidR="007E6143" w:rsidRDefault="007E6143" w:rsidP="0072371B">
      <w:pPr>
        <w:pStyle w:val="ListParagraph"/>
        <w:numPr>
          <w:ilvl w:val="0"/>
          <w:numId w:val="28"/>
        </w:numPr>
        <w:ind w:left="567" w:hanging="567"/>
      </w:pPr>
      <w:r>
        <w:t xml:space="preserve">Early discussion with the local </w:t>
      </w:r>
      <w:r w:rsidR="0006294F">
        <w:t>C</w:t>
      </w:r>
      <w:r>
        <w:t>oroner</w:t>
      </w:r>
    </w:p>
    <w:p w:rsidR="00CE1E26" w:rsidRDefault="00CE1E26" w:rsidP="0072371B">
      <w:pPr>
        <w:pStyle w:val="ListParagraph"/>
        <w:numPr>
          <w:ilvl w:val="0"/>
          <w:numId w:val="28"/>
        </w:numPr>
        <w:ind w:left="567" w:hanging="567"/>
      </w:pPr>
      <w:r>
        <w:t xml:space="preserve">Early identification of </w:t>
      </w:r>
      <w:r w:rsidR="006A613D">
        <w:t xml:space="preserve">those affected </w:t>
      </w:r>
      <w:r>
        <w:t>and their families</w:t>
      </w:r>
    </w:p>
    <w:p w:rsidR="007E6143" w:rsidRDefault="007E6143" w:rsidP="0072371B">
      <w:pPr>
        <w:pStyle w:val="ListParagraph"/>
        <w:numPr>
          <w:ilvl w:val="0"/>
          <w:numId w:val="28"/>
        </w:numPr>
        <w:ind w:left="567" w:hanging="567"/>
      </w:pPr>
      <w:r>
        <w:t xml:space="preserve">Informing the </w:t>
      </w:r>
      <w:r w:rsidR="006A613D">
        <w:t xml:space="preserve">patients, </w:t>
      </w:r>
      <w:r>
        <w:t xml:space="preserve">carers and families about the investigative process and how they can be involved. Arranging for them to meet the commissioner and then the investigation team if wanted. </w:t>
      </w:r>
    </w:p>
    <w:p w:rsidR="007E6143" w:rsidRDefault="007E6143" w:rsidP="0072371B">
      <w:pPr>
        <w:pStyle w:val="ListParagraph"/>
        <w:numPr>
          <w:ilvl w:val="0"/>
          <w:numId w:val="28"/>
        </w:numPr>
        <w:ind w:left="567" w:hanging="567"/>
      </w:pPr>
      <w:r>
        <w:t xml:space="preserve">Agreeing the timescale for the investigation, timings and setting a date for receipt of the final report. </w:t>
      </w:r>
    </w:p>
    <w:p w:rsidR="007E6143" w:rsidRDefault="007E6143" w:rsidP="0072371B">
      <w:pPr>
        <w:pStyle w:val="ListParagraph"/>
        <w:numPr>
          <w:ilvl w:val="0"/>
          <w:numId w:val="28"/>
        </w:numPr>
        <w:ind w:left="567" w:hanging="567"/>
      </w:pPr>
      <w:r>
        <w:t>If the commencement of the investigation has to be delayed, the reasons must be clearly explained to t</w:t>
      </w:r>
      <w:r w:rsidR="002A2972">
        <w:t>he</w:t>
      </w:r>
      <w:r w:rsidR="006A613D">
        <w:t xml:space="preserve"> patients and families affected. </w:t>
      </w:r>
    </w:p>
    <w:p w:rsidR="00157F75" w:rsidRDefault="00157F75" w:rsidP="00157F75">
      <w:pPr>
        <w:pStyle w:val="ListParagraph"/>
        <w:ind w:left="1080"/>
      </w:pPr>
    </w:p>
    <w:p w:rsidR="007E6143" w:rsidRPr="00157F75" w:rsidRDefault="007E6143" w:rsidP="007E6143">
      <w:pPr>
        <w:rPr>
          <w:b/>
        </w:rPr>
      </w:pPr>
      <w:r w:rsidRPr="00157F75">
        <w:rPr>
          <w:b/>
        </w:rPr>
        <w:t>The investigation team</w:t>
      </w:r>
    </w:p>
    <w:p w:rsidR="00157F75" w:rsidRDefault="00157F75" w:rsidP="007E6143"/>
    <w:p w:rsidR="00157F75" w:rsidRDefault="007E6143" w:rsidP="007E6143">
      <w:r>
        <w:t>In order to ensure independence and avoid any conflict of interest, no member of the independent investigation team can be in the employment of the provider or commissioner organisations</w:t>
      </w:r>
      <w:r w:rsidR="009441EB">
        <w:t xml:space="preserve"> under investigation</w:t>
      </w:r>
      <w:r>
        <w:t xml:space="preserve">, nor should they have had any clinical involvement with the individual(s) to whom the investigation relates.  </w:t>
      </w:r>
    </w:p>
    <w:p w:rsidR="00157F75" w:rsidRDefault="00157F75" w:rsidP="007E6143"/>
    <w:p w:rsidR="007E6143" w:rsidRDefault="00157F75" w:rsidP="00F35BAC">
      <w:r>
        <w:t>I</w:t>
      </w:r>
      <w:r w:rsidR="00F35BAC">
        <w:t xml:space="preserve">nvestigators must </w:t>
      </w:r>
      <w:r w:rsidR="007E6143">
        <w:t>declare any connectivity that might, or might appear to, compromise the integrity of the investigation</w:t>
      </w:r>
      <w:r w:rsidR="00F35BAC">
        <w:t xml:space="preserve">. They must </w:t>
      </w:r>
      <w:r w:rsidR="007E6143">
        <w:t xml:space="preserve">adhere to the principles set </w:t>
      </w:r>
      <w:r w:rsidR="007E6143">
        <w:lastRenderedPageBreak/>
        <w:t>out below and uphold the highest professional standards in relation to all who are involved in the process before, during and after the investigation.</w:t>
      </w:r>
    </w:p>
    <w:p w:rsidR="00157F75" w:rsidRDefault="00157F75" w:rsidP="007E6143"/>
    <w:p w:rsidR="007E6143" w:rsidRDefault="007E6143" w:rsidP="007E6143">
      <w:r>
        <w:t>Investigators must:</w:t>
      </w:r>
    </w:p>
    <w:p w:rsidR="00157F75" w:rsidRDefault="00157F75" w:rsidP="007E6143"/>
    <w:p w:rsidR="007E6143" w:rsidRDefault="0006294F" w:rsidP="0072371B">
      <w:pPr>
        <w:pStyle w:val="ListParagraph"/>
        <w:numPr>
          <w:ilvl w:val="0"/>
          <w:numId w:val="29"/>
        </w:numPr>
        <w:ind w:left="426" w:hanging="426"/>
      </w:pPr>
      <w:r>
        <w:t>C</w:t>
      </w:r>
      <w:r w:rsidR="007E6143">
        <w:t>arry out their work with professionalism, integrity</w:t>
      </w:r>
      <w:r w:rsidR="00461C62">
        <w:t>, sensitivity</w:t>
      </w:r>
      <w:r w:rsidR="007E6143">
        <w:t xml:space="preserve"> and courtesy;</w:t>
      </w:r>
    </w:p>
    <w:p w:rsidR="007E6143" w:rsidRDefault="0006294F" w:rsidP="0072371B">
      <w:pPr>
        <w:pStyle w:val="ListParagraph"/>
        <w:numPr>
          <w:ilvl w:val="0"/>
          <w:numId w:val="29"/>
        </w:numPr>
        <w:ind w:left="426" w:hanging="426"/>
      </w:pPr>
      <w:r>
        <w:t>E</w:t>
      </w:r>
      <w:r w:rsidR="007E6143">
        <w:t>valuate the standard of care delivered by the provider objectively;</w:t>
      </w:r>
    </w:p>
    <w:p w:rsidR="007E6143" w:rsidRDefault="0006294F" w:rsidP="0072371B">
      <w:pPr>
        <w:pStyle w:val="ListParagraph"/>
        <w:numPr>
          <w:ilvl w:val="0"/>
          <w:numId w:val="29"/>
        </w:numPr>
        <w:ind w:left="426" w:hanging="426"/>
      </w:pPr>
      <w:r>
        <w:t>R</w:t>
      </w:r>
      <w:r w:rsidR="007E6143">
        <w:t>eport fairly and without favour;</w:t>
      </w:r>
    </w:p>
    <w:p w:rsidR="007E6143" w:rsidRDefault="0006294F" w:rsidP="0072371B">
      <w:pPr>
        <w:pStyle w:val="ListParagraph"/>
        <w:numPr>
          <w:ilvl w:val="0"/>
          <w:numId w:val="29"/>
        </w:numPr>
        <w:ind w:left="426" w:hanging="426"/>
      </w:pPr>
      <w:r>
        <w:t>C</w:t>
      </w:r>
      <w:r w:rsidR="007E6143">
        <w:t>ommunicate clearly and objectively</w:t>
      </w:r>
      <w:r w:rsidR="00461C62">
        <w:t xml:space="preserve"> using accessible language</w:t>
      </w:r>
      <w:r w:rsidR="007E6143">
        <w:t>;</w:t>
      </w:r>
    </w:p>
    <w:p w:rsidR="007E6143" w:rsidRDefault="0006294F" w:rsidP="0072371B">
      <w:pPr>
        <w:pStyle w:val="ListParagraph"/>
        <w:numPr>
          <w:ilvl w:val="0"/>
          <w:numId w:val="29"/>
        </w:numPr>
        <w:ind w:left="426" w:hanging="426"/>
      </w:pPr>
      <w:r>
        <w:t>A</w:t>
      </w:r>
      <w:r w:rsidR="007E6143">
        <w:t>ct in the best interests of patients;</w:t>
      </w:r>
    </w:p>
    <w:p w:rsidR="007E6143" w:rsidRDefault="0006294F" w:rsidP="0072371B">
      <w:pPr>
        <w:pStyle w:val="ListParagraph"/>
        <w:numPr>
          <w:ilvl w:val="0"/>
          <w:numId w:val="29"/>
        </w:numPr>
        <w:ind w:left="426" w:hanging="426"/>
      </w:pPr>
      <w:r>
        <w:t>R</w:t>
      </w:r>
      <w:r w:rsidR="007E6143">
        <w:t>espect the confidentiality of information received and judgements made before, during and after the investigation;</w:t>
      </w:r>
    </w:p>
    <w:p w:rsidR="007E6143" w:rsidRDefault="0006294F" w:rsidP="0072371B">
      <w:pPr>
        <w:pStyle w:val="ListParagraph"/>
        <w:numPr>
          <w:ilvl w:val="0"/>
          <w:numId w:val="29"/>
        </w:numPr>
        <w:ind w:left="426" w:hanging="426"/>
      </w:pPr>
      <w:r>
        <w:t>A</w:t>
      </w:r>
      <w:r w:rsidR="007E6143">
        <w:t>t all times adhere to the requirements outlined in the Terms of Reference;</w:t>
      </w:r>
      <w:r w:rsidR="009441EB">
        <w:t xml:space="preserve"> and</w:t>
      </w:r>
    </w:p>
    <w:p w:rsidR="007E6143" w:rsidRDefault="0006294F" w:rsidP="0072371B">
      <w:pPr>
        <w:pStyle w:val="ListParagraph"/>
        <w:numPr>
          <w:ilvl w:val="0"/>
          <w:numId w:val="29"/>
        </w:numPr>
        <w:ind w:left="426" w:hanging="426"/>
      </w:pPr>
      <w:r>
        <w:t>P</w:t>
      </w:r>
      <w:r w:rsidR="007E6143">
        <w:t>ay close regard to legal requirements for safeguarding the welfare of patients.</w:t>
      </w:r>
    </w:p>
    <w:p w:rsidR="007E6143" w:rsidRDefault="007E6143" w:rsidP="007E6143"/>
    <w:p w:rsidR="00157F75" w:rsidRDefault="007E6143" w:rsidP="007E6143">
      <w:r>
        <w:t>Investigators must ensure that their recommendations are</w:t>
      </w:r>
      <w:r w:rsidR="00777B17">
        <w:t>;</w:t>
      </w:r>
    </w:p>
    <w:p w:rsidR="005C4297" w:rsidRDefault="005C4297" w:rsidP="007E6143"/>
    <w:p w:rsidR="007E6143" w:rsidRDefault="0006294F" w:rsidP="0072371B">
      <w:pPr>
        <w:pStyle w:val="ListParagraph"/>
        <w:numPr>
          <w:ilvl w:val="0"/>
          <w:numId w:val="30"/>
        </w:numPr>
        <w:ind w:left="426" w:hanging="426"/>
      </w:pPr>
      <w:r>
        <w:t>C</w:t>
      </w:r>
      <w:r w:rsidR="007E6143">
        <w:t>omprehensive, in that they cover all the requirements of the investigations Terms of Reference;</w:t>
      </w:r>
    </w:p>
    <w:p w:rsidR="007E6143" w:rsidRDefault="0006294F" w:rsidP="0072371B">
      <w:pPr>
        <w:pStyle w:val="ListParagraph"/>
        <w:numPr>
          <w:ilvl w:val="0"/>
          <w:numId w:val="30"/>
        </w:numPr>
        <w:ind w:left="426" w:hanging="426"/>
      </w:pPr>
      <w:r>
        <w:t>C</w:t>
      </w:r>
      <w:r w:rsidR="007E6143">
        <w:t>onsistent, in that the evaluations of the evidence do not contradict one another;</w:t>
      </w:r>
    </w:p>
    <w:p w:rsidR="007E6143" w:rsidRDefault="0006294F" w:rsidP="0072371B">
      <w:pPr>
        <w:pStyle w:val="ListParagraph"/>
        <w:numPr>
          <w:ilvl w:val="0"/>
          <w:numId w:val="30"/>
        </w:numPr>
        <w:ind w:left="426" w:hanging="426"/>
      </w:pPr>
      <w:r>
        <w:t>R</w:t>
      </w:r>
      <w:r w:rsidR="007E6143">
        <w:t>eliable, in that they are based on consistent application of the evaluative criteria i.e. extent to which that care corresponded with statutory obligations, relevant national guidance, Trust policies, including any team or service operational policies and professional standards;</w:t>
      </w:r>
      <w:r w:rsidR="00777B17">
        <w:t xml:space="preserve"> and</w:t>
      </w:r>
    </w:p>
    <w:p w:rsidR="007E6143" w:rsidRDefault="0006294F" w:rsidP="0072371B">
      <w:pPr>
        <w:pStyle w:val="ListParagraph"/>
        <w:numPr>
          <w:ilvl w:val="0"/>
          <w:numId w:val="30"/>
        </w:numPr>
        <w:ind w:left="426" w:hanging="426"/>
      </w:pPr>
      <w:r>
        <w:t>O</w:t>
      </w:r>
      <w:r w:rsidR="007E6143">
        <w:t>bjective, in that the actions of the provider are fully and fairly evaluated and recommendation are made in the best interests of patient</w:t>
      </w:r>
      <w:r w:rsidR="00777B17">
        <w:t xml:space="preserve">s. </w:t>
      </w:r>
    </w:p>
    <w:p w:rsidR="00777B17" w:rsidRDefault="00777B17" w:rsidP="00466603"/>
    <w:p w:rsidR="00F35BAC" w:rsidRDefault="00777B17" w:rsidP="00466603">
      <w:r>
        <w:t>M</w:t>
      </w:r>
      <w:r w:rsidR="007E6143">
        <w:t>embers of investigation teams need to be properly appointed with formal appointment letters and a Lead Investigator mus</w:t>
      </w:r>
      <w:r w:rsidR="00F35BAC">
        <w:t>t be identified from the o</w:t>
      </w:r>
      <w:r w:rsidR="009E3032">
        <w:t>ut</w:t>
      </w:r>
      <w:r w:rsidR="00F35BAC">
        <w:t>set</w:t>
      </w:r>
      <w:r w:rsidR="00D7718F">
        <w:rPr>
          <w:rStyle w:val="EndnoteReference"/>
        </w:rPr>
        <w:endnoteReference w:id="10"/>
      </w:r>
      <w:r w:rsidR="00F35BAC">
        <w:t>.</w:t>
      </w:r>
    </w:p>
    <w:p w:rsidR="00F35BAC" w:rsidRDefault="00F35BAC" w:rsidP="00F35BAC">
      <w:pPr>
        <w:pStyle w:val="ListParagraph"/>
      </w:pPr>
    </w:p>
    <w:p w:rsidR="007E6143" w:rsidRDefault="007E6143" w:rsidP="00F35BAC">
      <w:r>
        <w:t xml:space="preserve">The skills and expertise of the independent investigation team appointed </w:t>
      </w:r>
      <w:r w:rsidR="00F35BAC">
        <w:t xml:space="preserve">must </w:t>
      </w:r>
      <w:r>
        <w:t>include</w:t>
      </w:r>
      <w:r w:rsidR="00777B17">
        <w:t xml:space="preserve"> the following</w:t>
      </w:r>
      <w:r>
        <w:t xml:space="preserve">: </w:t>
      </w:r>
    </w:p>
    <w:p w:rsidR="00F35BAC" w:rsidRDefault="00F35BAC" w:rsidP="00F35BAC"/>
    <w:p w:rsidR="007E6143" w:rsidRDefault="007E6143" w:rsidP="0072371B">
      <w:pPr>
        <w:pStyle w:val="ListParagraph"/>
        <w:numPr>
          <w:ilvl w:val="0"/>
          <w:numId w:val="30"/>
        </w:numPr>
        <w:ind w:left="426" w:hanging="426"/>
      </w:pPr>
      <w:r>
        <w:t>Relevant clinical, social care and managerial expertise.</w:t>
      </w:r>
    </w:p>
    <w:p w:rsidR="007E6143" w:rsidRDefault="007E6143" w:rsidP="0072371B">
      <w:pPr>
        <w:pStyle w:val="ListParagraph"/>
        <w:numPr>
          <w:ilvl w:val="0"/>
          <w:numId w:val="30"/>
        </w:numPr>
        <w:ind w:left="426" w:hanging="426"/>
      </w:pPr>
      <w:r>
        <w:t>Expert investigation skills such as Root Cause Analysis.</w:t>
      </w:r>
    </w:p>
    <w:p w:rsidR="007E6143" w:rsidRDefault="007E6143" w:rsidP="0072371B">
      <w:pPr>
        <w:pStyle w:val="ListParagraph"/>
        <w:numPr>
          <w:ilvl w:val="0"/>
          <w:numId w:val="30"/>
        </w:numPr>
        <w:ind w:left="426" w:hanging="426"/>
      </w:pPr>
      <w:r>
        <w:t>Interviewing and communication skills.</w:t>
      </w:r>
    </w:p>
    <w:p w:rsidR="007E6143" w:rsidRDefault="007E6143" w:rsidP="0072371B">
      <w:pPr>
        <w:pStyle w:val="ListParagraph"/>
        <w:numPr>
          <w:ilvl w:val="0"/>
          <w:numId w:val="30"/>
        </w:numPr>
        <w:ind w:left="426" w:hanging="426"/>
      </w:pPr>
      <w:r>
        <w:t>Understanding of the independent investigation process.</w:t>
      </w:r>
    </w:p>
    <w:p w:rsidR="007E6143" w:rsidRDefault="007E6143" w:rsidP="0072371B">
      <w:pPr>
        <w:pStyle w:val="ListParagraph"/>
        <w:numPr>
          <w:ilvl w:val="0"/>
          <w:numId w:val="30"/>
        </w:numPr>
        <w:ind w:left="426" w:hanging="426"/>
      </w:pPr>
      <w:r>
        <w:t xml:space="preserve">Excellent report writing skills. </w:t>
      </w:r>
    </w:p>
    <w:p w:rsidR="007E6143" w:rsidRDefault="007E6143" w:rsidP="0072371B">
      <w:pPr>
        <w:pStyle w:val="ListParagraph"/>
        <w:numPr>
          <w:ilvl w:val="0"/>
          <w:numId w:val="30"/>
        </w:numPr>
        <w:ind w:left="426" w:hanging="426"/>
      </w:pPr>
      <w:r>
        <w:t>An understanding of the treatment of witnesses.</w:t>
      </w:r>
    </w:p>
    <w:p w:rsidR="007E6143" w:rsidRDefault="007E6143" w:rsidP="0072371B">
      <w:pPr>
        <w:pStyle w:val="ListParagraph"/>
        <w:numPr>
          <w:ilvl w:val="0"/>
          <w:numId w:val="30"/>
        </w:numPr>
        <w:ind w:left="426" w:hanging="426"/>
      </w:pPr>
      <w:r>
        <w:t>Other specific skills and expertise may be required as is specific to each case, and should be determined by the commissioner and/or the Regional Investigations Team</w:t>
      </w:r>
      <w:r w:rsidR="00777B17">
        <w:t>.</w:t>
      </w:r>
    </w:p>
    <w:p w:rsidR="0019367F" w:rsidRDefault="0019367F" w:rsidP="0072371B">
      <w:pPr>
        <w:pStyle w:val="ListParagraph"/>
        <w:numPr>
          <w:ilvl w:val="0"/>
          <w:numId w:val="30"/>
        </w:numPr>
        <w:ind w:left="426" w:hanging="426"/>
      </w:pPr>
      <w:r>
        <w:t>Verbal communication skills including, if required, giving evidence in Court</w:t>
      </w:r>
      <w:r w:rsidR="00777B17">
        <w:t>.</w:t>
      </w:r>
    </w:p>
    <w:p w:rsidR="00157F75" w:rsidRDefault="00157F75" w:rsidP="007E6143"/>
    <w:p w:rsidR="007E6143" w:rsidRDefault="007E6143" w:rsidP="007E6143">
      <w:r>
        <w:t>It is recommended that as part of the contract held with the investigators there is an agreement that the team will undertake an independent audit to assess how far the recommended actions have been implemented 6-12 months after the investigation. The audit should highlight areas where providers need additional support from other areas of the system to deliver change and improvement.</w:t>
      </w:r>
    </w:p>
    <w:p w:rsidR="007E6143" w:rsidRDefault="007E6143" w:rsidP="007E6143"/>
    <w:p w:rsidR="007E6143" w:rsidRPr="00157F75" w:rsidRDefault="00777B17" w:rsidP="007E6143">
      <w:pPr>
        <w:rPr>
          <w:b/>
        </w:rPr>
      </w:pPr>
      <w:r>
        <w:rPr>
          <w:b/>
        </w:rPr>
        <w:t>Terms of Reference</w:t>
      </w:r>
    </w:p>
    <w:p w:rsidR="00157F75" w:rsidRDefault="00157F75" w:rsidP="007E6143"/>
    <w:p w:rsidR="007E6143" w:rsidRDefault="007E6143" w:rsidP="007E6143">
      <w:r>
        <w:t xml:space="preserve">The </w:t>
      </w:r>
      <w:r w:rsidR="0006294F">
        <w:t>c</w:t>
      </w:r>
      <w:r>
        <w:t>ommissioner of the investigation in discussion with the Lead Investigator is responsible for ensuring that the investigation is underpinned by a clear terms of reference, taking into consideration any findings from internal review, recommendations from the panels review and the patients/family’s concerns/</w:t>
      </w:r>
      <w:r w:rsidR="00157F75">
        <w:t xml:space="preserve"> </w:t>
      </w:r>
      <w:r>
        <w:t>questions.</w:t>
      </w:r>
    </w:p>
    <w:p w:rsidR="00157F75" w:rsidRDefault="00157F75" w:rsidP="007E6143"/>
    <w:p w:rsidR="007E6143" w:rsidRDefault="007E6143" w:rsidP="007E6143">
      <w:r>
        <w:t xml:space="preserve">The </w:t>
      </w:r>
      <w:r w:rsidR="0006294F">
        <w:t>T</w:t>
      </w:r>
      <w:r>
        <w:t xml:space="preserve">erms of </w:t>
      </w:r>
      <w:r w:rsidR="0006294F">
        <w:t>R</w:t>
      </w:r>
      <w:r>
        <w:t>eference are likely to include;</w:t>
      </w:r>
    </w:p>
    <w:p w:rsidR="00157F75" w:rsidRDefault="00157F75" w:rsidP="007E6143"/>
    <w:p w:rsidR="007E6143" w:rsidRDefault="0006294F" w:rsidP="0072371B">
      <w:pPr>
        <w:pStyle w:val="ListParagraph"/>
        <w:numPr>
          <w:ilvl w:val="0"/>
          <w:numId w:val="31"/>
        </w:numPr>
      </w:pPr>
      <w:r>
        <w:t>E</w:t>
      </w:r>
      <w:r w:rsidR="007E6143">
        <w:t>xamining the care and treatment provided, including risk assessment and risk management;</w:t>
      </w:r>
    </w:p>
    <w:p w:rsidR="007E6143" w:rsidRDefault="0006294F" w:rsidP="0072371B">
      <w:pPr>
        <w:pStyle w:val="ListParagraph"/>
        <w:numPr>
          <w:ilvl w:val="0"/>
          <w:numId w:val="31"/>
        </w:numPr>
      </w:pPr>
      <w:r>
        <w:t>P</w:t>
      </w:r>
      <w:r w:rsidR="007E6143">
        <w:t>roviding a chronology of the events leading up to the incident;</w:t>
      </w:r>
    </w:p>
    <w:p w:rsidR="007E6143" w:rsidRDefault="0006294F" w:rsidP="0072371B">
      <w:pPr>
        <w:pStyle w:val="ListParagraph"/>
        <w:numPr>
          <w:ilvl w:val="0"/>
          <w:numId w:val="31"/>
        </w:numPr>
      </w:pPr>
      <w:r>
        <w:t>I</w:t>
      </w:r>
      <w:r w:rsidR="007E6143">
        <w:t>dentifying care or service delivery issues, along with the factors that might have contributed to them;</w:t>
      </w:r>
    </w:p>
    <w:p w:rsidR="007E6143" w:rsidRDefault="0006294F" w:rsidP="0072371B">
      <w:pPr>
        <w:pStyle w:val="ListParagraph"/>
        <w:numPr>
          <w:ilvl w:val="0"/>
          <w:numId w:val="31"/>
        </w:numPr>
      </w:pPr>
      <w:r>
        <w:t>I</w:t>
      </w:r>
      <w:r w:rsidR="007E6143">
        <w:t xml:space="preserve">dentifying underlying causes; </w:t>
      </w:r>
      <w:r w:rsidR="00777B17">
        <w:t>and</w:t>
      </w:r>
    </w:p>
    <w:p w:rsidR="007E6143" w:rsidRDefault="0006294F" w:rsidP="0072371B">
      <w:pPr>
        <w:pStyle w:val="ListParagraph"/>
        <w:numPr>
          <w:ilvl w:val="0"/>
          <w:numId w:val="31"/>
        </w:numPr>
      </w:pPr>
      <w:r>
        <w:t>M</w:t>
      </w:r>
      <w:r w:rsidR="007E6143">
        <w:t>aking clear, implementable recommendations for the local health community.</w:t>
      </w:r>
    </w:p>
    <w:p w:rsidR="007E6143" w:rsidRDefault="007E6143" w:rsidP="007E6143"/>
    <w:p w:rsidR="007E6143" w:rsidRDefault="00E01860" w:rsidP="007E6143">
      <w:r>
        <w:t>If</w:t>
      </w:r>
      <w:r w:rsidR="007E6143">
        <w:t xml:space="preserve"> an independent investigation of the wider commissioning system and the configuration of services</w:t>
      </w:r>
      <w:r>
        <w:t xml:space="preserve"> is required, then this</w:t>
      </w:r>
      <w:r w:rsidR="007E6143">
        <w:t xml:space="preserve"> will involve consideration of whether the causes of the serious incident may have related to</w:t>
      </w:r>
      <w:r>
        <w:t>,</w:t>
      </w:r>
      <w:r w:rsidR="007E6143">
        <w:t xml:space="preserve"> or included the range, availability or configuration of health care service provision within a local health care economy</w:t>
      </w:r>
      <w:r w:rsidR="005013FE">
        <w:t>. Such investigations</w:t>
      </w:r>
      <w:r w:rsidR="007E6143">
        <w:t xml:space="preserve"> </w:t>
      </w:r>
      <w:r>
        <w:t>will</w:t>
      </w:r>
      <w:r w:rsidR="005013FE">
        <w:t xml:space="preserve"> also</w:t>
      </w:r>
      <w:r>
        <w:t xml:space="preserve"> take into account </w:t>
      </w:r>
      <w:r w:rsidR="007E6143">
        <w:t xml:space="preserve">any other issues raised by the preceding provider-focussed investigations. The </w:t>
      </w:r>
      <w:r w:rsidR="0006294F">
        <w:t>T</w:t>
      </w:r>
      <w:r w:rsidR="007E6143">
        <w:t xml:space="preserve">erms of </w:t>
      </w:r>
      <w:r w:rsidR="0006294F">
        <w:t>R</w:t>
      </w:r>
      <w:r w:rsidR="007E6143">
        <w:t>eference are likely to include</w:t>
      </w:r>
      <w:r w:rsidR="0006294F">
        <w:t>:</w:t>
      </w:r>
    </w:p>
    <w:p w:rsidR="007E6143" w:rsidRDefault="007E6143" w:rsidP="007E6143"/>
    <w:p w:rsidR="007E6143" w:rsidRDefault="0006294F" w:rsidP="0072371B">
      <w:pPr>
        <w:pStyle w:val="ListParagraph"/>
        <w:numPr>
          <w:ilvl w:val="0"/>
          <w:numId w:val="34"/>
        </w:numPr>
        <w:ind w:left="709" w:hanging="283"/>
      </w:pPr>
      <w:r>
        <w:t>C</w:t>
      </w:r>
      <w:r w:rsidR="007E6143">
        <w:t>onsideration of the findings of the preceding provider-focussed investigations</w:t>
      </w:r>
      <w:r w:rsidR="00777B17">
        <w:t>;</w:t>
      </w:r>
    </w:p>
    <w:p w:rsidR="007E6143" w:rsidRDefault="0006294F" w:rsidP="0072371B">
      <w:pPr>
        <w:pStyle w:val="ListParagraph"/>
        <w:numPr>
          <w:ilvl w:val="0"/>
          <w:numId w:val="34"/>
        </w:numPr>
        <w:ind w:left="709" w:hanging="283"/>
      </w:pPr>
      <w:r>
        <w:t>F</w:t>
      </w:r>
      <w:r w:rsidR="007E6143">
        <w:t>urther investigation of the care or services provided as required</w:t>
      </w:r>
      <w:r w:rsidR="00777B17">
        <w:t>;</w:t>
      </w:r>
    </w:p>
    <w:p w:rsidR="007E6143" w:rsidRDefault="0006294F" w:rsidP="0072371B">
      <w:pPr>
        <w:pStyle w:val="ListParagraph"/>
        <w:numPr>
          <w:ilvl w:val="0"/>
          <w:numId w:val="34"/>
        </w:numPr>
        <w:ind w:left="709" w:hanging="283"/>
      </w:pPr>
      <w:r>
        <w:t>I</w:t>
      </w:r>
      <w:r w:rsidR="007E6143">
        <w:t>dentifying care or service delivery issues, along with the factors that might have contributed to them;</w:t>
      </w:r>
    </w:p>
    <w:p w:rsidR="007E6143" w:rsidRDefault="0006294F" w:rsidP="0072371B">
      <w:pPr>
        <w:pStyle w:val="ListParagraph"/>
        <w:numPr>
          <w:ilvl w:val="0"/>
          <w:numId w:val="34"/>
        </w:numPr>
        <w:ind w:left="709" w:hanging="283"/>
      </w:pPr>
      <w:r>
        <w:t>I</w:t>
      </w:r>
      <w:r w:rsidR="007E6143">
        <w:t xml:space="preserve">dentifying underlying causes; </w:t>
      </w:r>
      <w:r w:rsidR="00777B17">
        <w:t>and</w:t>
      </w:r>
    </w:p>
    <w:p w:rsidR="007E6143" w:rsidRDefault="0006294F" w:rsidP="0072371B">
      <w:pPr>
        <w:pStyle w:val="ListParagraph"/>
        <w:numPr>
          <w:ilvl w:val="0"/>
          <w:numId w:val="34"/>
        </w:numPr>
        <w:ind w:left="709" w:hanging="283"/>
      </w:pPr>
      <w:r>
        <w:t>M</w:t>
      </w:r>
      <w:r w:rsidR="007E6143">
        <w:t>aking clear, implementable recommendations for the local health community</w:t>
      </w:r>
      <w:r w:rsidR="00777B17">
        <w:t>..</w:t>
      </w:r>
    </w:p>
    <w:p w:rsidR="00777B17" w:rsidRDefault="00777B17" w:rsidP="00466603"/>
    <w:p w:rsidR="007E6143" w:rsidRDefault="007E6143" w:rsidP="00466603">
      <w:r>
        <w:t>The work of the investigation team should stay within the terms of reference unless the terms are renegotiated with the commissioner.</w:t>
      </w:r>
    </w:p>
    <w:p w:rsidR="007E6143" w:rsidRDefault="007E6143" w:rsidP="007E6143">
      <w:r>
        <w:tab/>
      </w:r>
    </w:p>
    <w:p w:rsidR="007E6143" w:rsidRPr="00157F75" w:rsidRDefault="007E6143" w:rsidP="007E6143">
      <w:pPr>
        <w:rPr>
          <w:b/>
        </w:rPr>
      </w:pPr>
      <w:r w:rsidRPr="00157F75">
        <w:rPr>
          <w:b/>
        </w:rPr>
        <w:t xml:space="preserve">Closure and </w:t>
      </w:r>
      <w:r w:rsidR="0006294F">
        <w:rPr>
          <w:b/>
        </w:rPr>
        <w:t>p</w:t>
      </w:r>
      <w:r w:rsidRPr="00157F75">
        <w:rPr>
          <w:b/>
        </w:rPr>
        <w:t xml:space="preserve">ublication of </w:t>
      </w:r>
      <w:r w:rsidR="0006294F">
        <w:rPr>
          <w:b/>
        </w:rPr>
        <w:t>i</w:t>
      </w:r>
      <w:r w:rsidRPr="00157F75">
        <w:rPr>
          <w:b/>
        </w:rPr>
        <w:t xml:space="preserve">ndependent </w:t>
      </w:r>
      <w:r w:rsidR="0006294F">
        <w:rPr>
          <w:b/>
        </w:rPr>
        <w:t>i</w:t>
      </w:r>
      <w:r w:rsidRPr="00157F75">
        <w:rPr>
          <w:b/>
        </w:rPr>
        <w:t xml:space="preserve">nvestigations </w:t>
      </w:r>
    </w:p>
    <w:p w:rsidR="00157F75" w:rsidRDefault="00157F75" w:rsidP="007E6143"/>
    <w:p w:rsidR="007E6143" w:rsidRDefault="007E6143" w:rsidP="007E6143">
      <w:r>
        <w:t>The independent investigation must be completed by the investigation team within 6 months of the date it is commissioned.</w:t>
      </w:r>
    </w:p>
    <w:p w:rsidR="00157F75" w:rsidRDefault="00157F75" w:rsidP="007E6143"/>
    <w:p w:rsidR="007E6143" w:rsidRDefault="007E6143" w:rsidP="007E6143">
      <w:r>
        <w:t>The draft report must be sent to the organisations that commissioned it who will send it to the relevant stakeholders including the patient/family involved</w:t>
      </w:r>
      <w:r w:rsidR="00C66770">
        <w:rPr>
          <w:rStyle w:val="FootnoteReference"/>
        </w:rPr>
        <w:footnoteReference w:id="57"/>
      </w:r>
      <w:r>
        <w:t xml:space="preserve">. The commissioner of the investigation will send a copy of the draft report to the relevant bodies to check </w:t>
      </w:r>
      <w:r>
        <w:lastRenderedPageBreak/>
        <w:t>for factual accuracy only</w:t>
      </w:r>
      <w:r w:rsidR="00F35BAC">
        <w:t xml:space="preserve">. </w:t>
      </w:r>
      <w:r w:rsidR="0035446E">
        <w:t>T</w:t>
      </w:r>
      <w:r>
        <w:t>here should not be any amendments to any outcomes or recommendations detailed within the report. The provider(s) must review the report and provide an updated action plan based on recommendations/</w:t>
      </w:r>
      <w:r w:rsidR="00157F75">
        <w:t xml:space="preserve"> </w:t>
      </w:r>
      <w:r>
        <w:t xml:space="preserve">findings. This must be done in line with the guidance set out in </w:t>
      </w:r>
      <w:r w:rsidR="0006294F">
        <w:t>P</w:t>
      </w:r>
      <w:r>
        <w:t xml:space="preserve">art </w:t>
      </w:r>
      <w:r w:rsidR="0006294F">
        <w:t>T</w:t>
      </w:r>
      <w:r>
        <w:t>hree; section</w:t>
      </w:r>
      <w:r w:rsidR="000B6F0A">
        <w:t xml:space="preserve"> 4.4.2</w:t>
      </w:r>
      <w:r>
        <w:t xml:space="preserve"> of this guidance. Th</w:t>
      </w:r>
      <w:r w:rsidR="000B6F0A">
        <w:t>e action plan</w:t>
      </w:r>
      <w:r>
        <w:t xml:space="preserve"> must be submitted to the commissioner of the investigation</w:t>
      </w:r>
      <w:r w:rsidR="003917D3">
        <w:t xml:space="preserve"> </w:t>
      </w:r>
      <w:r w:rsidR="003917D3" w:rsidRPr="003917D3">
        <w:t xml:space="preserve">(and the lead commissioners if different) </w:t>
      </w:r>
      <w:r>
        <w:t>as soon as possible and within 10 working days.</w:t>
      </w:r>
    </w:p>
    <w:p w:rsidR="00157F75" w:rsidRDefault="00157F75" w:rsidP="007E6143"/>
    <w:p w:rsidR="007E6143" w:rsidRDefault="007E6143" w:rsidP="007E6143">
      <w:r>
        <w:t>Commissioners of the investigation will make arrangements for a meeting with relevant key stakeholders to approve the draft report and action plan once submitted. Once agreed, the co</w:t>
      </w:r>
      <w:r w:rsidR="00157F75">
        <w:t>mmissioner of the investigation</w:t>
      </w:r>
      <w:r>
        <w:t xml:space="preserve"> will liaise with the legal advisors, investigators, families, Trusts/providers, other commissioners/ stakeholders to agree closure of the investigation and publication the final report.</w:t>
      </w:r>
    </w:p>
    <w:p w:rsidR="00157F75" w:rsidRDefault="00157F75" w:rsidP="007E6143"/>
    <w:p w:rsidR="007E6143" w:rsidRDefault="007E6143" w:rsidP="007E6143">
      <w:r>
        <w:t>Before the final report and action plan is published all pre-publication checks must be complete. This includes ensuring</w:t>
      </w:r>
      <w:r w:rsidR="0006294F">
        <w:t>:</w:t>
      </w:r>
    </w:p>
    <w:p w:rsidR="00157F75" w:rsidRDefault="00157F75" w:rsidP="007E6143"/>
    <w:p w:rsidR="007E6143" w:rsidRDefault="0006294F" w:rsidP="0072371B">
      <w:pPr>
        <w:pStyle w:val="ListParagraph"/>
        <w:numPr>
          <w:ilvl w:val="0"/>
          <w:numId w:val="32"/>
        </w:numPr>
      </w:pPr>
      <w:r>
        <w:t>T</w:t>
      </w:r>
      <w:r w:rsidR="007E6143">
        <w:t>he report and action plan has been subject to legal review</w:t>
      </w:r>
      <w:r w:rsidR="00014322">
        <w:t>;</w:t>
      </w:r>
      <w:r w:rsidR="007E6143">
        <w:t xml:space="preserve"> </w:t>
      </w:r>
    </w:p>
    <w:p w:rsidR="007E6143" w:rsidRDefault="0006294F" w:rsidP="0072371B">
      <w:pPr>
        <w:pStyle w:val="ListParagraph"/>
        <w:numPr>
          <w:ilvl w:val="0"/>
          <w:numId w:val="32"/>
        </w:numPr>
      </w:pPr>
      <w:r>
        <w:t>R</w:t>
      </w:r>
      <w:r w:rsidR="007E6143">
        <w:t>ecommendations have been agreed by all interested parties</w:t>
      </w:r>
      <w:r w:rsidR="00014322">
        <w:t>;</w:t>
      </w:r>
    </w:p>
    <w:p w:rsidR="007E6143" w:rsidRDefault="0006294F" w:rsidP="0072371B">
      <w:pPr>
        <w:pStyle w:val="ListParagraph"/>
        <w:numPr>
          <w:ilvl w:val="0"/>
          <w:numId w:val="32"/>
        </w:numPr>
      </w:pPr>
      <w:r>
        <w:t>T</w:t>
      </w:r>
      <w:r w:rsidR="003917D3">
        <w:t>hose affected i.e. patients and their families</w:t>
      </w:r>
      <w:r w:rsidR="002A2972">
        <w:t xml:space="preserve"> </w:t>
      </w:r>
      <w:r w:rsidR="007E6143">
        <w:t>have had an opportunity to understand the report and its recommendations</w:t>
      </w:r>
      <w:r w:rsidR="00014322">
        <w:t>;</w:t>
      </w:r>
    </w:p>
    <w:p w:rsidR="000B6F0A" w:rsidRDefault="0006294F" w:rsidP="0072371B">
      <w:pPr>
        <w:pStyle w:val="ListParagraph"/>
        <w:numPr>
          <w:ilvl w:val="0"/>
          <w:numId w:val="32"/>
        </w:numPr>
      </w:pPr>
      <w:r>
        <w:t>A</w:t>
      </w:r>
      <w:r w:rsidR="000B6F0A">
        <w:t>gree media handling plan</w:t>
      </w:r>
      <w:r w:rsidR="00014322">
        <w:t>;</w:t>
      </w:r>
    </w:p>
    <w:p w:rsidR="000B6F0A" w:rsidRDefault="0006294F" w:rsidP="0072371B">
      <w:pPr>
        <w:pStyle w:val="ListParagraph"/>
        <w:numPr>
          <w:ilvl w:val="0"/>
          <w:numId w:val="32"/>
        </w:numPr>
      </w:pPr>
      <w:r>
        <w:t>A</w:t>
      </w:r>
      <w:r w:rsidR="000B6F0A">
        <w:t>nyone that may be seen to be criticised should have an opportunity to comment</w:t>
      </w:r>
      <w:r w:rsidR="00014322">
        <w:t>;</w:t>
      </w:r>
    </w:p>
    <w:p w:rsidR="007E6143" w:rsidRDefault="0006294F" w:rsidP="0072371B">
      <w:pPr>
        <w:pStyle w:val="ListParagraph"/>
        <w:numPr>
          <w:ilvl w:val="0"/>
          <w:numId w:val="32"/>
        </w:numPr>
      </w:pPr>
      <w:r>
        <w:t>A</w:t>
      </w:r>
      <w:r w:rsidR="007E6143">
        <w:t xml:space="preserve"> robust, effective action plan is in place, including a process for review of delivery/implementation of agreed actions</w:t>
      </w:r>
      <w:r w:rsidR="00014322">
        <w:t>; and</w:t>
      </w:r>
    </w:p>
    <w:p w:rsidR="007E6143" w:rsidRDefault="0006294F" w:rsidP="0072371B">
      <w:pPr>
        <w:pStyle w:val="ListParagraph"/>
        <w:numPr>
          <w:ilvl w:val="0"/>
          <w:numId w:val="32"/>
        </w:numPr>
      </w:pPr>
      <w:r>
        <w:t>F</w:t>
      </w:r>
      <w:r w:rsidR="007E6143">
        <w:t>inal sign off by the commissioner of the investigation</w:t>
      </w:r>
      <w:r w:rsidR="00014322">
        <w:t>.</w:t>
      </w:r>
    </w:p>
    <w:p w:rsidR="00157F75" w:rsidRDefault="00157F75" w:rsidP="007E6143"/>
    <w:p w:rsidR="007E6143" w:rsidRDefault="007E6143" w:rsidP="007E6143">
      <w:r>
        <w:t>Once</w:t>
      </w:r>
      <w:r w:rsidR="00023F6B">
        <w:t xml:space="preserve"> signed-off</w:t>
      </w:r>
      <w:r w:rsidR="00987BD7">
        <w:t>, the report and action plan should</w:t>
      </w:r>
      <w:r>
        <w:t xml:space="preserve"> be published on the websites of the relevant commissioner, the Trust/provider and NHS England in a prominent and easy to access area as soon as possible and within 21 days. This system should bring greater openness and accountability.</w:t>
      </w:r>
    </w:p>
    <w:p w:rsidR="00157F75" w:rsidRDefault="00157F75" w:rsidP="007E6143"/>
    <w:p w:rsidR="007E6143" w:rsidRPr="00157F75" w:rsidRDefault="007E6143" w:rsidP="007E6143">
      <w:pPr>
        <w:rPr>
          <w:b/>
        </w:rPr>
      </w:pPr>
      <w:r w:rsidRPr="00157F75">
        <w:rPr>
          <w:b/>
        </w:rPr>
        <w:t>Next steps</w:t>
      </w:r>
    </w:p>
    <w:p w:rsidR="00157F75" w:rsidRDefault="00157F75" w:rsidP="007E6143"/>
    <w:p w:rsidR="007E6143" w:rsidRDefault="007E6143" w:rsidP="007E6143">
      <w:r>
        <w:t xml:space="preserve">As outlined in </w:t>
      </w:r>
      <w:r w:rsidR="0006294F">
        <w:t>P</w:t>
      </w:r>
      <w:r>
        <w:t xml:space="preserve">art </w:t>
      </w:r>
      <w:r w:rsidR="0006294F">
        <w:t>T</w:t>
      </w:r>
      <w:r>
        <w:t xml:space="preserve">hree; section </w:t>
      </w:r>
      <w:r w:rsidR="00E55F68">
        <w:t>5,</w:t>
      </w:r>
      <w:r>
        <w:t xml:space="preserve"> it is</w:t>
      </w:r>
      <w:r w:rsidRPr="000C671C">
        <w:t xml:space="preserve"> </w:t>
      </w:r>
      <w:r>
        <w:t xml:space="preserve">important to recognise that the closure of an incident marks the completion of the investigation process only. The delivery of action and improvement at this stage may be in its infancy. Implementing change and improvement can take time, particularly where this relates to behavioural and cultural change. It is not unreasonable for improvement to take many months or even years in some cases. </w:t>
      </w:r>
    </w:p>
    <w:p w:rsidR="00157F75" w:rsidRDefault="00157F75" w:rsidP="007E6143"/>
    <w:p w:rsidR="007E6143" w:rsidRDefault="007E6143" w:rsidP="007E6143">
      <w:r>
        <w:t>It is important that providers and commissioners invest time in monitoring and progressing with long term actions, particularly where these may addresses the causes contributing to other incidents across the system. Patients and families involved may also wish to maintain their involvement with the organisations after the investigation is closed to seek assur</w:t>
      </w:r>
      <w:r w:rsidR="0006294F">
        <w:t>ance</w:t>
      </w:r>
      <w:r>
        <w:t xml:space="preserve"> that action is being taken and that lessons are really being learned. Opportunities for future involvement should be </w:t>
      </w:r>
      <w:r w:rsidR="00E55F68">
        <w:t>offered where this is the case.</w:t>
      </w:r>
      <w:r>
        <w:t xml:space="preserve"> </w:t>
      </w:r>
    </w:p>
    <w:p w:rsidR="00617F03" w:rsidRDefault="00617F03" w:rsidP="007E6143"/>
    <w:p w:rsidR="00617F03" w:rsidRDefault="00617F03" w:rsidP="007E6143"/>
    <w:p w:rsidR="00617F03" w:rsidRDefault="00617F03" w:rsidP="007E6143"/>
    <w:p w:rsidR="007E6143" w:rsidRPr="00157F75" w:rsidRDefault="00617F03" w:rsidP="007E6143">
      <w:pPr>
        <w:rPr>
          <w:b/>
        </w:rPr>
      </w:pPr>
      <w:r>
        <w:rPr>
          <w:b/>
        </w:rPr>
        <w:t>I</w:t>
      </w:r>
      <w:r w:rsidR="002A2972" w:rsidRPr="00157F75">
        <w:rPr>
          <w:b/>
        </w:rPr>
        <w:t>mplications</w:t>
      </w:r>
      <w:r w:rsidR="007E6143" w:rsidRPr="00157F75">
        <w:rPr>
          <w:b/>
        </w:rPr>
        <w:t xml:space="preserve"> of the Human Rights Act </w:t>
      </w:r>
    </w:p>
    <w:p w:rsidR="00157F75" w:rsidRDefault="00157F75" w:rsidP="007E6143"/>
    <w:p w:rsidR="007E6143" w:rsidRDefault="007E6143" w:rsidP="007E6143">
      <w:r>
        <w:t xml:space="preserve">The Human Rights Act 1998, which </w:t>
      </w:r>
      <w:r w:rsidR="00D850E9">
        <w:t xml:space="preserve">gives effect in the UK to </w:t>
      </w:r>
      <w:r>
        <w:t>the European Convention on Human Rights (ECHR), may impact investigations carried out in relation to serious incidents. The relevant Article of the ECHR is Article 2 – right to life</w:t>
      </w:r>
      <w:r w:rsidR="003A3A85">
        <w:rPr>
          <w:rStyle w:val="FootnoteReference"/>
        </w:rPr>
        <w:footnoteReference w:id="58"/>
      </w:r>
      <w:r w:rsidR="00157F75">
        <w:t>.</w:t>
      </w:r>
      <w:r>
        <w:t xml:space="preserve"> </w:t>
      </w:r>
    </w:p>
    <w:p w:rsidR="00D850E9" w:rsidRDefault="00D850E9" w:rsidP="007E6143"/>
    <w:p w:rsidR="00D850E9" w:rsidRDefault="00D850E9" w:rsidP="008912D2">
      <w:r>
        <w:t>Article 2 have been interpreted in</w:t>
      </w:r>
      <w:r w:rsidR="00A46868">
        <w:t xml:space="preserve"> the case law of UK courts </w:t>
      </w:r>
      <w:r>
        <w:t>and the Eu</w:t>
      </w:r>
      <w:r w:rsidR="00A46868">
        <w:t>ropean Court of Human Rights as</w:t>
      </w:r>
      <w:r>
        <w:t xml:space="preserve"> </w:t>
      </w:r>
      <w:r w:rsidR="00A46868">
        <w:t xml:space="preserve">imposing </w:t>
      </w:r>
      <w:r>
        <w:t>both positive and procedural</w:t>
      </w:r>
      <w:r w:rsidR="004D57ED">
        <w:t xml:space="preserve"> (investigative)</w:t>
      </w:r>
      <w:r w:rsidR="00A46868">
        <w:t xml:space="preserve"> obligations on the State</w:t>
      </w:r>
      <w:r>
        <w:t>.</w:t>
      </w:r>
      <w:r w:rsidR="003A3A85">
        <w:t xml:space="preserve"> T</w:t>
      </w:r>
      <w:r w:rsidR="008912D2">
        <w:t xml:space="preserve">his means </w:t>
      </w:r>
      <w:r w:rsidR="003A3A85">
        <w:t>that ‘</w:t>
      </w:r>
      <w:r w:rsidR="008912D2">
        <w:t>the state must never arbitrarily take someone’s life and must also safeguard the lives of those in its care. In addition, the state must carry out an effective investigation when an individual dies following the state’s failure to protect the</w:t>
      </w:r>
      <w:r w:rsidR="003A3A85">
        <w:t xml:space="preserve"> </w:t>
      </w:r>
      <w:r w:rsidR="008912D2">
        <w:t>right to life, or the use of force by government officials</w:t>
      </w:r>
      <w:r w:rsidR="00AA19DB">
        <w:t xml:space="preserve"> </w:t>
      </w:r>
      <w:r w:rsidR="003A3A85">
        <w:rPr>
          <w:vertAlign w:val="superscript"/>
        </w:rPr>
        <w:t>iii</w:t>
      </w:r>
      <w:r w:rsidR="003A3A85">
        <w:t>’</w:t>
      </w:r>
      <w:r w:rsidR="008912D2">
        <w:t>.</w:t>
      </w:r>
    </w:p>
    <w:p w:rsidR="00157F75" w:rsidRDefault="00157F75" w:rsidP="007E6143"/>
    <w:p w:rsidR="00DF7198" w:rsidRDefault="00DF7198" w:rsidP="00DF7198">
      <w:r>
        <w:t>Not all incidents being investigated under this guidance will trigger a duty for the investigation to be Article 2 compliant</w:t>
      </w:r>
      <w:r w:rsidR="00750B4A">
        <w:rPr>
          <w:rStyle w:val="FootnoteReference"/>
        </w:rPr>
        <w:footnoteReference w:id="59"/>
      </w:r>
      <w:r>
        <w:t xml:space="preserve">. On the one hand, the duty does not, for example, arise in every case where someone dies in hospital. On the other hand, it will almost always arise where there is an unexpected death in custody (including those detained under the Mental Health Act (1983)) and where there are real concerns that there were failures of care. </w:t>
      </w:r>
      <w:r w:rsidR="00C3342E">
        <w:t>It may also</w:t>
      </w:r>
      <w:r>
        <w:t xml:space="preserve"> arise as a consequence of the control of and responsibility assumed for the individual, so Article 2 could apply to </w:t>
      </w:r>
      <w:r w:rsidR="00C3342E">
        <w:t xml:space="preserve">the death of </w:t>
      </w:r>
      <w:r>
        <w:t>an informal psychiatric patient. However, every case will depend on its own facts and legal advice should be sought.</w:t>
      </w:r>
    </w:p>
    <w:p w:rsidR="00DF7198" w:rsidRDefault="00DF7198" w:rsidP="00DF7198"/>
    <w:p w:rsidR="00DF7198" w:rsidRDefault="00DF7198" w:rsidP="00DF7198">
      <w:r>
        <w:t xml:space="preserve">It is important to note that any duty to carry out an Article 2 compliant investigation covers the whole span of investigations following death or incident, and not simply an investigation under this guidance in isolation. Normally, the coroner’s inquest </w:t>
      </w:r>
      <w:r w:rsidR="00C3342E">
        <w:t>will</w:t>
      </w:r>
      <w:r>
        <w:t xml:space="preserve"> ensure Article 2 compliance either on its own or with </w:t>
      </w:r>
      <w:r w:rsidR="00C3342E">
        <w:t>an investigation carried out under this guidance and/or civil or criminal proceedings</w:t>
      </w:r>
      <w:r>
        <w:t xml:space="preserve">. </w:t>
      </w:r>
      <w:r w:rsidR="00DF5490">
        <w:t xml:space="preserve">An investigation under this guidance </w:t>
      </w:r>
      <w:r w:rsidR="00DF5490" w:rsidRPr="0043110F">
        <w:t>may contribute towards to</w:t>
      </w:r>
      <w:r w:rsidR="00DF5490">
        <w:t xml:space="preserve"> the</w:t>
      </w:r>
      <w:r w:rsidR="00DF5490" w:rsidRPr="0043110F">
        <w:t xml:space="preserve"> coroner’s inquest as part of the State’s overall response to</w:t>
      </w:r>
      <w:r w:rsidR="00DF5490">
        <w:t xml:space="preserve"> its</w:t>
      </w:r>
      <w:r w:rsidR="00DF5490" w:rsidRPr="0043110F">
        <w:t xml:space="preserve"> Article 2 obligations</w:t>
      </w:r>
      <w:r w:rsidR="00DF5490">
        <w:t xml:space="preserve">. </w:t>
      </w:r>
      <w:r>
        <w:t>Again, legal advice may be needed to determine the scope of and proper procedures for any investigation</w:t>
      </w:r>
      <w:r w:rsidR="00DF5490">
        <w:t xml:space="preserve"> under this guidance</w:t>
      </w:r>
      <w:r>
        <w:t xml:space="preserve"> that involves significant Article 2 issues</w:t>
      </w:r>
      <w:r w:rsidR="00356FCB">
        <w:t>.</w:t>
      </w:r>
      <w:r w:rsidRPr="0043110F">
        <w:t xml:space="preserve"> </w:t>
      </w:r>
    </w:p>
    <w:p w:rsidR="00DF7198" w:rsidRDefault="00DF7198" w:rsidP="007E6143"/>
    <w:p w:rsidR="00157F75" w:rsidRDefault="00157F75" w:rsidP="007E6143"/>
    <w:p w:rsidR="007E6143" w:rsidRPr="007E6143" w:rsidRDefault="00685DE9" w:rsidP="007E6143">
      <w:r>
        <w:br w:type="page"/>
      </w:r>
    </w:p>
    <w:p w:rsidR="003432E4" w:rsidRDefault="003432E4" w:rsidP="00BE15C7">
      <w:pPr>
        <w:pStyle w:val="Heading1"/>
      </w:pPr>
      <w:bookmarkStart w:id="63" w:name="_Toc414568075"/>
      <w:r>
        <w:t>Appendix 4</w:t>
      </w:r>
      <w:r w:rsidR="005D2131">
        <w:t>:</w:t>
      </w:r>
      <w:r>
        <w:t xml:space="preserve"> Domestic Homicide Reviews</w:t>
      </w:r>
      <w:bookmarkEnd w:id="63"/>
    </w:p>
    <w:p w:rsidR="00731AE0" w:rsidRDefault="00731AE0" w:rsidP="00340F9B">
      <w:pPr>
        <w:ind w:left="75"/>
      </w:pPr>
    </w:p>
    <w:p w:rsidR="00340F9B" w:rsidRPr="00731AE0" w:rsidRDefault="00731AE0" w:rsidP="00340F9B">
      <w:pPr>
        <w:ind w:left="75"/>
        <w:rPr>
          <w:i/>
        </w:rPr>
      </w:pPr>
      <w:r w:rsidRPr="00731AE0">
        <w:rPr>
          <w:i/>
        </w:rPr>
        <w:t>Adapted with kind permission from NHS England, London</w:t>
      </w:r>
    </w:p>
    <w:p w:rsidR="00731AE0" w:rsidRDefault="00731AE0" w:rsidP="00340F9B">
      <w:pPr>
        <w:ind w:left="75"/>
        <w:rPr>
          <w:b/>
        </w:rPr>
      </w:pPr>
    </w:p>
    <w:p w:rsidR="00340F9B" w:rsidRDefault="00340F9B" w:rsidP="00340F9B">
      <w:pPr>
        <w:ind w:left="75"/>
        <w:rPr>
          <w:b/>
        </w:rPr>
      </w:pPr>
      <w:r w:rsidRPr="00340F9B">
        <w:rPr>
          <w:b/>
        </w:rPr>
        <w:t>A Domestic Homicide is defined as:</w:t>
      </w:r>
    </w:p>
    <w:p w:rsidR="00340F9B" w:rsidRPr="00340F9B" w:rsidRDefault="00340F9B" w:rsidP="00340F9B">
      <w:pPr>
        <w:ind w:left="75"/>
        <w:rPr>
          <w:b/>
        </w:rPr>
      </w:pPr>
    </w:p>
    <w:p w:rsidR="00340F9B" w:rsidRDefault="00340F9B" w:rsidP="00340F9B">
      <w:pPr>
        <w:ind w:left="75"/>
      </w:pPr>
      <w:r w:rsidRPr="004B6730">
        <w:t>The death of a person aged 16 or over</w:t>
      </w:r>
      <w:r w:rsidR="00332C85">
        <w:t xml:space="preserve"> which</w:t>
      </w:r>
      <w:r w:rsidRPr="004B6730">
        <w:t xml:space="preserve"> has, </w:t>
      </w:r>
      <w:r w:rsidRPr="00340F9B">
        <w:rPr>
          <w:b/>
        </w:rPr>
        <w:t>or appears to have</w:t>
      </w:r>
      <w:r w:rsidRPr="004B6730">
        <w:t>, resulted from violence, abuse or neglect by—</w:t>
      </w:r>
    </w:p>
    <w:p w:rsidR="00340F9B" w:rsidRPr="004B6730" w:rsidRDefault="00340F9B" w:rsidP="00340F9B">
      <w:pPr>
        <w:ind w:left="75"/>
      </w:pPr>
    </w:p>
    <w:p w:rsidR="00340F9B" w:rsidRPr="004B6730" w:rsidRDefault="00340F9B" w:rsidP="0072371B">
      <w:pPr>
        <w:pStyle w:val="ListParagraph"/>
        <w:numPr>
          <w:ilvl w:val="0"/>
          <w:numId w:val="48"/>
        </w:numPr>
      </w:pPr>
      <w:r w:rsidRPr="004B6730">
        <w:t xml:space="preserve">a person to whom </w:t>
      </w:r>
      <w:r w:rsidR="00332C85">
        <w:t>s/</w:t>
      </w:r>
      <w:r w:rsidRPr="004B6730">
        <w:t xml:space="preserve">he was related or with whom </w:t>
      </w:r>
      <w:r w:rsidR="00332C85">
        <w:t>s/</w:t>
      </w:r>
      <w:r w:rsidRPr="004B6730">
        <w:t>he was or had been in an intimate personal relationship, or</w:t>
      </w:r>
    </w:p>
    <w:p w:rsidR="00340F9B" w:rsidRPr="004B6730" w:rsidRDefault="00340F9B" w:rsidP="0072371B">
      <w:pPr>
        <w:pStyle w:val="ListParagraph"/>
        <w:numPr>
          <w:ilvl w:val="0"/>
          <w:numId w:val="48"/>
        </w:numPr>
      </w:pPr>
      <w:r w:rsidRPr="004B6730">
        <w:t>a member of the same household as him</w:t>
      </w:r>
      <w:r w:rsidR="00332C85">
        <w:t>/her</w:t>
      </w:r>
      <w:r w:rsidRPr="004B6730">
        <w:t>self, held with a view to identifying the lessons to be learnt from the death.</w:t>
      </w:r>
    </w:p>
    <w:p w:rsidR="00340F9B" w:rsidRDefault="00340F9B" w:rsidP="00340F9B">
      <w:pPr>
        <w:ind w:left="75"/>
      </w:pPr>
    </w:p>
    <w:p w:rsidR="00340F9B" w:rsidRDefault="00340F9B" w:rsidP="00340F9B">
      <w:pPr>
        <w:ind w:left="75"/>
      </w:pPr>
      <w:r w:rsidRPr="004B6730">
        <w:t xml:space="preserve">A Domestic Homicide is identified by the </w:t>
      </w:r>
      <w:r w:rsidR="001D359A">
        <w:t>p</w:t>
      </w:r>
      <w:r w:rsidRPr="004B6730">
        <w:t xml:space="preserve">olice usually in partnership with the Community Safety Partnership (CSP) with whom the overall responsibility lies for establishing a review of the case. </w:t>
      </w:r>
    </w:p>
    <w:p w:rsidR="00340F9B" w:rsidRPr="004B6730" w:rsidRDefault="00340F9B" w:rsidP="00340F9B">
      <w:pPr>
        <w:ind w:left="75"/>
      </w:pPr>
    </w:p>
    <w:p w:rsidR="00340F9B" w:rsidRPr="004B6730" w:rsidRDefault="00340F9B" w:rsidP="00340F9B">
      <w:pPr>
        <w:ind w:left="75"/>
      </w:pPr>
      <w:r w:rsidRPr="004B6730">
        <w:t>Where the CSP considers that the criteria for a Domestic Homicide Review (DHR) are met and should be undertaken, they will utilise local contacts and request the establishment of a DHR Panel. An independent chair will be appointed.</w:t>
      </w:r>
    </w:p>
    <w:p w:rsidR="00340F9B" w:rsidRDefault="00340F9B" w:rsidP="00340F9B">
      <w:pPr>
        <w:ind w:left="75"/>
      </w:pPr>
      <w:r w:rsidRPr="004B6730">
        <w:t xml:space="preserve">The Review Panel must include individuals from the statutory agencies listed under section 9 of the Domestic Violence, Crime and Victims Act 2004, this includes NHS England, and Clinical Commissioning Groups. </w:t>
      </w:r>
    </w:p>
    <w:p w:rsidR="00340F9B" w:rsidRPr="004B6730" w:rsidRDefault="00340F9B" w:rsidP="00340F9B">
      <w:pPr>
        <w:ind w:left="75"/>
      </w:pPr>
    </w:p>
    <w:p w:rsidR="00340F9B" w:rsidRDefault="00340F9B" w:rsidP="00340F9B">
      <w:pPr>
        <w:ind w:left="75"/>
        <w:rPr>
          <w:b/>
        </w:rPr>
      </w:pPr>
      <w:r w:rsidRPr="00340F9B">
        <w:rPr>
          <w:b/>
        </w:rPr>
        <w:t>Domestic Homicide Reviews</w:t>
      </w:r>
    </w:p>
    <w:p w:rsidR="00BE15C7" w:rsidRPr="00340F9B" w:rsidRDefault="00BE15C7" w:rsidP="00340F9B">
      <w:pPr>
        <w:ind w:left="75"/>
        <w:rPr>
          <w:b/>
        </w:rPr>
      </w:pPr>
    </w:p>
    <w:p w:rsidR="00340F9B" w:rsidRDefault="00340F9B" w:rsidP="00340F9B">
      <w:pPr>
        <w:ind w:left="75"/>
      </w:pPr>
      <w:r w:rsidRPr="004B6730">
        <w:t>The purpose of a Domestic Homicide Review is to</w:t>
      </w:r>
      <w:r>
        <w:t>;</w:t>
      </w:r>
    </w:p>
    <w:p w:rsidR="00340F9B" w:rsidRPr="004B6730" w:rsidRDefault="00340F9B" w:rsidP="00340F9B">
      <w:pPr>
        <w:ind w:left="75"/>
      </w:pPr>
    </w:p>
    <w:p w:rsidR="00340F9B" w:rsidRPr="004B6730" w:rsidRDefault="00340F9B" w:rsidP="0072371B">
      <w:pPr>
        <w:pStyle w:val="ListParagraph"/>
        <w:numPr>
          <w:ilvl w:val="0"/>
          <w:numId w:val="47"/>
        </w:numPr>
      </w:pPr>
      <w:r w:rsidRPr="004B6730">
        <w:t>establish what lessons are to be learned from the domestic homicide regarding the way in which local professionals and organisations work individually and together to safeguard victims;</w:t>
      </w:r>
    </w:p>
    <w:p w:rsidR="00340F9B" w:rsidRPr="004B6730" w:rsidRDefault="00340F9B" w:rsidP="0072371B">
      <w:pPr>
        <w:pStyle w:val="ListParagraph"/>
        <w:numPr>
          <w:ilvl w:val="0"/>
          <w:numId w:val="47"/>
        </w:numPr>
      </w:pPr>
      <w:r w:rsidRPr="004B6730">
        <w:t>identify clearly what those lessons are both within and between agencies, how and within what timescales they will be acted on, and what is expected to change as a result;</w:t>
      </w:r>
    </w:p>
    <w:p w:rsidR="00340F9B" w:rsidRPr="004B6730" w:rsidRDefault="00340F9B" w:rsidP="0072371B">
      <w:pPr>
        <w:pStyle w:val="ListParagraph"/>
        <w:numPr>
          <w:ilvl w:val="0"/>
          <w:numId w:val="47"/>
        </w:numPr>
      </w:pPr>
      <w:r w:rsidRPr="004B6730">
        <w:t>apply these lessons to services including changes to policies and procedures as appropriate; and</w:t>
      </w:r>
    </w:p>
    <w:p w:rsidR="00340F9B" w:rsidRPr="004B6730" w:rsidRDefault="00340F9B" w:rsidP="0072371B">
      <w:pPr>
        <w:pStyle w:val="ListParagraph"/>
        <w:numPr>
          <w:ilvl w:val="0"/>
          <w:numId w:val="47"/>
        </w:numPr>
      </w:pPr>
      <w:r w:rsidRPr="004B6730">
        <w:t>prevent domestic violence and abuse and improve service responses for all domestic violence and abuse victims and their children through improved intra and inter-agency working.</w:t>
      </w:r>
    </w:p>
    <w:p w:rsidR="00340F9B" w:rsidRDefault="00340F9B" w:rsidP="00340F9B">
      <w:pPr>
        <w:ind w:left="75"/>
      </w:pPr>
    </w:p>
    <w:p w:rsidR="00340F9B" w:rsidRDefault="00340F9B" w:rsidP="00340F9B">
      <w:pPr>
        <w:ind w:left="75"/>
      </w:pPr>
      <w:r w:rsidRPr="004B6730">
        <w:t>DHRs are not inquiries into how the victim died or into who is culpable; that is a matter for coroners</w:t>
      </w:r>
      <w:r w:rsidR="00332C85">
        <w:t xml:space="preserve"> (as to how?)</w:t>
      </w:r>
      <w:r w:rsidRPr="004B6730">
        <w:t xml:space="preserve"> and criminal courts</w:t>
      </w:r>
      <w:r w:rsidR="00332C85">
        <w:t xml:space="preserve"> (as to culpability)</w:t>
      </w:r>
      <w:r w:rsidRPr="004B6730">
        <w:t>, respectively, to determine as appropriate</w:t>
      </w:r>
      <w:r w:rsidR="00D7718F">
        <w:rPr>
          <w:rStyle w:val="EndnoteReference"/>
        </w:rPr>
        <w:endnoteReference w:id="11"/>
      </w:r>
      <w:r w:rsidRPr="004B6730">
        <w:t>.</w:t>
      </w:r>
    </w:p>
    <w:p w:rsidR="00340F9B" w:rsidRPr="004B6730" w:rsidRDefault="00340F9B" w:rsidP="00340F9B">
      <w:pPr>
        <w:ind w:left="75"/>
      </w:pPr>
    </w:p>
    <w:p w:rsidR="00340F9B" w:rsidRDefault="00340F9B" w:rsidP="00340F9B">
      <w:pPr>
        <w:ind w:left="75"/>
        <w:rPr>
          <w:b/>
        </w:rPr>
      </w:pPr>
      <w:r w:rsidRPr="00340F9B">
        <w:rPr>
          <w:b/>
        </w:rPr>
        <w:t>Providers (including GPs and Primary Care)</w:t>
      </w:r>
    </w:p>
    <w:p w:rsidR="000D32E8" w:rsidRPr="00340F9B" w:rsidRDefault="000D32E8" w:rsidP="00340F9B">
      <w:pPr>
        <w:ind w:left="75"/>
        <w:rPr>
          <w:b/>
        </w:rPr>
      </w:pPr>
    </w:p>
    <w:p w:rsidR="00340F9B" w:rsidRPr="004B6730" w:rsidRDefault="00340F9B" w:rsidP="00340F9B">
      <w:pPr>
        <w:ind w:left="75"/>
      </w:pPr>
      <w:r w:rsidRPr="004B6730">
        <w:lastRenderedPageBreak/>
        <w:t>The Domestic Violence, Crime and Victims Act (2004) requires provider organisations to respond to requests for Individual Management Reports (IMR) in a timely manner, reflecting on any learning which might be gained from the issues raised in the IMR.</w:t>
      </w:r>
    </w:p>
    <w:p w:rsidR="00340F9B" w:rsidRDefault="00340F9B" w:rsidP="000D32E8">
      <w:pPr>
        <w:ind w:left="75"/>
      </w:pPr>
      <w:r w:rsidRPr="004B6730">
        <w:t>The IMR must be completed by a third party, rather than any persons involved in the care of the victim, perpetrator or family members. For small providers, this may mean making reciprocal arrangements with partner organisations or commissioning an independent organisation to complete the IMR.</w:t>
      </w:r>
      <w:r w:rsidR="000D32E8">
        <w:t xml:space="preserve"> </w:t>
      </w:r>
      <w:r w:rsidRPr="004B6730">
        <w:t>If requested by the Chair the provider organisation must provide a panel member.</w:t>
      </w:r>
    </w:p>
    <w:p w:rsidR="00340F9B" w:rsidRPr="004B6730" w:rsidRDefault="00340F9B" w:rsidP="00340F9B">
      <w:pPr>
        <w:ind w:left="75"/>
      </w:pPr>
    </w:p>
    <w:p w:rsidR="00340F9B" w:rsidRDefault="00340F9B" w:rsidP="00340F9B">
      <w:pPr>
        <w:ind w:left="75"/>
        <w:rPr>
          <w:b/>
        </w:rPr>
      </w:pPr>
      <w:r w:rsidRPr="00340F9B">
        <w:rPr>
          <w:b/>
        </w:rPr>
        <w:t>Clinical Commissioning Groups</w:t>
      </w:r>
    </w:p>
    <w:p w:rsidR="00340F9B" w:rsidRPr="00340F9B" w:rsidRDefault="00340F9B" w:rsidP="00340F9B">
      <w:pPr>
        <w:ind w:left="75"/>
        <w:rPr>
          <w:b/>
        </w:rPr>
      </w:pPr>
    </w:p>
    <w:p w:rsidR="00340F9B" w:rsidRDefault="00340F9B" w:rsidP="00340F9B">
      <w:pPr>
        <w:ind w:left="75"/>
      </w:pPr>
      <w:r w:rsidRPr="004B6730">
        <w:t>The CCG must provide a panel member and work with the Community Safety Partnership to ensure that action plans are implemented locally, and learning shared across NHS providers.</w:t>
      </w:r>
    </w:p>
    <w:p w:rsidR="00340F9B" w:rsidRPr="004B6730" w:rsidRDefault="00340F9B" w:rsidP="00340F9B">
      <w:pPr>
        <w:ind w:left="75"/>
      </w:pPr>
    </w:p>
    <w:p w:rsidR="00340F9B" w:rsidRDefault="00340F9B" w:rsidP="00340F9B">
      <w:pPr>
        <w:ind w:left="75"/>
        <w:rPr>
          <w:b/>
        </w:rPr>
      </w:pPr>
      <w:r w:rsidRPr="00340F9B">
        <w:rPr>
          <w:b/>
        </w:rPr>
        <w:t>CCGs may be directed by the Secretary of State to participate in a Domestic Homicide Review, under Section 9(3) of the Domestic Violence, Crime and Victims Act (2004).</w:t>
      </w:r>
    </w:p>
    <w:p w:rsidR="00340F9B" w:rsidRPr="00340F9B" w:rsidRDefault="00340F9B" w:rsidP="00340F9B">
      <w:pPr>
        <w:ind w:left="75"/>
        <w:rPr>
          <w:b/>
        </w:rPr>
      </w:pPr>
    </w:p>
    <w:p w:rsidR="00340F9B" w:rsidRDefault="00340F9B" w:rsidP="00340F9B">
      <w:pPr>
        <w:ind w:left="75"/>
        <w:rPr>
          <w:b/>
        </w:rPr>
      </w:pPr>
      <w:r w:rsidRPr="00340F9B">
        <w:rPr>
          <w:b/>
        </w:rPr>
        <w:t xml:space="preserve">NHS England </w:t>
      </w:r>
    </w:p>
    <w:p w:rsidR="00340F9B" w:rsidRPr="00340F9B" w:rsidRDefault="00340F9B" w:rsidP="00340F9B">
      <w:pPr>
        <w:ind w:left="75"/>
        <w:rPr>
          <w:b/>
        </w:rPr>
      </w:pPr>
    </w:p>
    <w:p w:rsidR="00340F9B" w:rsidRDefault="00340F9B" w:rsidP="00340F9B">
      <w:pPr>
        <w:ind w:left="75"/>
      </w:pPr>
      <w:r w:rsidRPr="004B6730">
        <w:t>NHS England will provide a panel member, provide oversight of IMR’s at panel meetings, ensure that recommendations and actions are achievable, and disseminate learning across the NHS in England.</w:t>
      </w:r>
    </w:p>
    <w:p w:rsidR="00340F9B" w:rsidRPr="004B6730" w:rsidRDefault="00340F9B" w:rsidP="00340F9B">
      <w:pPr>
        <w:ind w:left="75"/>
      </w:pPr>
    </w:p>
    <w:p w:rsidR="00340F9B" w:rsidRPr="004B6730" w:rsidRDefault="00340F9B" w:rsidP="00340F9B">
      <w:pPr>
        <w:ind w:left="75"/>
      </w:pPr>
      <w:r w:rsidRPr="004B6730">
        <w:t>NHS England may support panel Chairs where obstacles to full NHS participation are experienced, using a range of relationship, contractual and regulatory influences.</w:t>
      </w:r>
    </w:p>
    <w:p w:rsidR="00340F9B" w:rsidRDefault="00340F9B" w:rsidP="00340F9B">
      <w:pPr>
        <w:ind w:left="75"/>
      </w:pPr>
      <w:r w:rsidRPr="004B6730">
        <w:t>NHS England may work in partnership with CCGs to identify victim and perpetrator GPs, through whom other NHS providers involved in the care of the victim and/or perpetrator may be identified.</w:t>
      </w:r>
    </w:p>
    <w:p w:rsidR="00340F9B" w:rsidRPr="004B6730" w:rsidRDefault="00340F9B" w:rsidP="00340F9B">
      <w:pPr>
        <w:ind w:left="75"/>
      </w:pPr>
    </w:p>
    <w:p w:rsidR="00340F9B" w:rsidRDefault="00340F9B" w:rsidP="00340F9B">
      <w:pPr>
        <w:ind w:left="75"/>
        <w:rPr>
          <w:b/>
        </w:rPr>
      </w:pPr>
      <w:r w:rsidRPr="00340F9B">
        <w:rPr>
          <w:b/>
        </w:rPr>
        <w:t>NHS England may be directed by the Secretary of State to participate in a Domestic Homicide Review, under Section 9(3) of the Domestic Violence, Crime and Victims Act (2004).</w:t>
      </w:r>
    </w:p>
    <w:p w:rsidR="00340F9B" w:rsidRPr="00340F9B" w:rsidRDefault="00340F9B" w:rsidP="00340F9B">
      <w:pPr>
        <w:ind w:left="75"/>
        <w:rPr>
          <w:b/>
        </w:rPr>
      </w:pPr>
    </w:p>
    <w:p w:rsidR="00340F9B" w:rsidRDefault="00340F9B" w:rsidP="00340F9B">
      <w:pPr>
        <w:ind w:left="75"/>
      </w:pPr>
      <w:r w:rsidRPr="004B6730">
        <w:t>NHS England will work in partnership with the CCGs to ensure that local services deliver high quality, safe and effective services through the implementation of action plans.</w:t>
      </w:r>
    </w:p>
    <w:p w:rsidR="00340F9B" w:rsidRPr="004B6730" w:rsidRDefault="00340F9B" w:rsidP="00340F9B">
      <w:pPr>
        <w:ind w:left="75"/>
      </w:pPr>
    </w:p>
    <w:p w:rsidR="00340F9B" w:rsidRDefault="00340F9B" w:rsidP="00340F9B">
      <w:pPr>
        <w:ind w:left="75"/>
      </w:pPr>
      <w:r w:rsidRPr="004B6730">
        <w:t>NHS England will collate learning from Domestic Homicides and make recommendations to Education Commissioning organisations for professional development opportunities for all professions.</w:t>
      </w:r>
    </w:p>
    <w:p w:rsidR="00340F9B" w:rsidRPr="004B6730" w:rsidRDefault="00340F9B" w:rsidP="00340F9B">
      <w:pPr>
        <w:ind w:left="75"/>
      </w:pPr>
    </w:p>
    <w:p w:rsidR="00340F9B" w:rsidRDefault="00340F9B" w:rsidP="00340F9B">
      <w:pPr>
        <w:ind w:left="75"/>
        <w:rPr>
          <w:b/>
        </w:rPr>
      </w:pPr>
      <w:r w:rsidRPr="00340F9B">
        <w:rPr>
          <w:b/>
        </w:rPr>
        <w:t>Management of the Domestic Homicide Process</w:t>
      </w:r>
    </w:p>
    <w:p w:rsidR="00340F9B" w:rsidRPr="00340F9B" w:rsidRDefault="00340F9B" w:rsidP="00340F9B">
      <w:pPr>
        <w:ind w:left="75"/>
        <w:rPr>
          <w:b/>
        </w:rPr>
      </w:pPr>
    </w:p>
    <w:p w:rsidR="00340F9B" w:rsidRPr="004B6730" w:rsidRDefault="00340F9B" w:rsidP="00340F9B">
      <w:pPr>
        <w:ind w:left="75"/>
      </w:pPr>
      <w:r w:rsidRPr="004B6730">
        <w:t>The authority to request Individual Management Reports from NHS provider organisation</w:t>
      </w:r>
      <w:r w:rsidR="00F927B7">
        <w:t>s</w:t>
      </w:r>
      <w:r w:rsidRPr="004B6730">
        <w:t xml:space="preserve"> lies with the Chair of the Panel, or the Community Safety Partnership who exercise this authority under the Domestic Violence, Crime and Victims Act 2004.</w:t>
      </w:r>
    </w:p>
    <w:p w:rsidR="00340F9B" w:rsidRDefault="00340F9B" w:rsidP="00340F9B">
      <w:pPr>
        <w:ind w:left="75"/>
      </w:pPr>
    </w:p>
    <w:p w:rsidR="00340F9B" w:rsidRDefault="00340F9B" w:rsidP="00340F9B">
      <w:pPr>
        <w:ind w:left="75"/>
      </w:pPr>
      <w:r>
        <w:t xml:space="preserve">Where agreed </w:t>
      </w:r>
      <w:r w:rsidRPr="004B6730">
        <w:t xml:space="preserve">NHS England’s Regional Offices will designate a regional lead and provide a co-ordination role for Domestic Homicide Reviews, providing a central point </w:t>
      </w:r>
      <w:r w:rsidRPr="004B6730">
        <w:lastRenderedPageBreak/>
        <w:t xml:space="preserve">for contact (for example, in London via </w:t>
      </w:r>
      <w:hyperlink r:id="rId35" w:history="1">
        <w:r w:rsidRPr="00340F9B">
          <w:rPr>
            <w:color w:val="0072C6" w:themeColor="hyperlink"/>
            <w:u w:val="single"/>
          </w:rPr>
          <w:t>ENGLAND.LondonInvestigations@nhs.net</w:t>
        </w:r>
      </w:hyperlink>
      <w:r w:rsidRPr="004B6730">
        <w:t>) to minimise the burden on non-NHS partners.</w:t>
      </w:r>
    </w:p>
    <w:p w:rsidR="00340F9B" w:rsidRPr="004B6730" w:rsidRDefault="00340F9B" w:rsidP="00340F9B">
      <w:pPr>
        <w:ind w:left="75"/>
      </w:pPr>
    </w:p>
    <w:p w:rsidR="00F555EF" w:rsidRDefault="00340F9B" w:rsidP="00340F9B">
      <w:pPr>
        <w:ind w:left="75"/>
      </w:pPr>
      <w:r w:rsidRPr="004B6730">
        <w:t>It is the responsibility of the Community Partnership to inform NHS England of a Domestic Homicide; however CCGs must inform the</w:t>
      </w:r>
      <w:r w:rsidR="00917821">
        <w:t xml:space="preserve"> relevant</w:t>
      </w:r>
      <w:r w:rsidRPr="004B6730">
        <w:t xml:space="preserve"> Regional Lead</w:t>
      </w:r>
      <w:r w:rsidR="00917821">
        <w:t xml:space="preserve"> (and their </w:t>
      </w:r>
      <w:r w:rsidR="000A74CD">
        <w:t>Sub-</w:t>
      </w:r>
      <w:r w:rsidR="000B6F0A">
        <w:t>region</w:t>
      </w:r>
      <w:r w:rsidR="00917821">
        <w:t>)</w:t>
      </w:r>
      <w:r w:rsidRPr="004B6730">
        <w:t xml:space="preserve"> if they are informed of a Domestic Homicide.</w:t>
      </w:r>
    </w:p>
    <w:p w:rsidR="00340F9B" w:rsidRDefault="00340F9B" w:rsidP="00340F9B">
      <w:pPr>
        <w:ind w:left="75"/>
      </w:pPr>
    </w:p>
    <w:p w:rsidR="00917821" w:rsidRDefault="00917821" w:rsidP="00917821">
      <w:r>
        <w:t>The panel member from NHS England should</w:t>
      </w:r>
      <w:r w:rsidRPr="00BE2290">
        <w:t xml:space="preserve"> be selected by the</w:t>
      </w:r>
      <w:r>
        <w:t xml:space="preserve"> appropriate</w:t>
      </w:r>
      <w:r w:rsidRPr="00BE2290">
        <w:t xml:space="preserve"> </w:t>
      </w:r>
      <w:r w:rsidR="000A74CD">
        <w:t>Sub-region</w:t>
      </w:r>
      <w:r w:rsidR="00F927B7">
        <w:t xml:space="preserve"> </w:t>
      </w:r>
      <w:r w:rsidRPr="00BE2290">
        <w:t>Director of Nursing in collaboration with the regional lead</w:t>
      </w:r>
      <w:r>
        <w:t xml:space="preserve"> facilitating/coordinating the</w:t>
      </w:r>
      <w:r w:rsidR="000D32E8">
        <w:t xml:space="preserve"> DHR management</w:t>
      </w:r>
      <w:r>
        <w:t xml:space="preserve"> process</w:t>
      </w:r>
      <w:r w:rsidRPr="00BE2290">
        <w:t>. The panel member will</w:t>
      </w:r>
      <w:r>
        <w:t xml:space="preserve"> provide an</w:t>
      </w:r>
      <w:r w:rsidRPr="00BE2290">
        <w:t xml:space="preserve"> update </w:t>
      </w:r>
      <w:r>
        <w:t xml:space="preserve">to </w:t>
      </w:r>
      <w:r w:rsidRPr="00BE2290">
        <w:t xml:space="preserve">the </w:t>
      </w:r>
      <w:r>
        <w:t xml:space="preserve">relevant (regional and </w:t>
      </w:r>
      <w:r w:rsidR="000A74CD">
        <w:t>Sub-region</w:t>
      </w:r>
      <w:r>
        <w:t>)</w:t>
      </w:r>
      <w:r w:rsidRPr="00BE2290">
        <w:t xml:space="preserve"> lead</w:t>
      </w:r>
      <w:r w:rsidR="000D32E8">
        <w:t>s</w:t>
      </w:r>
      <w:r>
        <w:t xml:space="preserve"> on</w:t>
      </w:r>
      <w:r w:rsidRPr="00BE2290">
        <w:t xml:space="preserve"> month</w:t>
      </w:r>
      <w:r>
        <w:t xml:space="preserve">ly basis (or as agreed). </w:t>
      </w:r>
    </w:p>
    <w:p w:rsidR="000D32E8" w:rsidRDefault="000D32E8" w:rsidP="00917821"/>
    <w:p w:rsidR="000D32E8" w:rsidRPr="000D32E8" w:rsidRDefault="000D32E8" w:rsidP="00917821">
      <w:pPr>
        <w:rPr>
          <w:b/>
        </w:rPr>
      </w:pPr>
      <w:r w:rsidRPr="000D32E8">
        <w:rPr>
          <w:b/>
        </w:rPr>
        <w:t>When to declare a serious incident</w:t>
      </w:r>
      <w:r>
        <w:rPr>
          <w:b/>
        </w:rPr>
        <w:t>?</w:t>
      </w:r>
    </w:p>
    <w:p w:rsidR="00917821" w:rsidRDefault="00917821" w:rsidP="00917821"/>
    <w:p w:rsidR="00917821" w:rsidRDefault="000D32E8" w:rsidP="00917821">
      <w:r>
        <w:t xml:space="preserve">A serious incident should be declared and managed in line with the guidance in part one, section 1-1.5 of this </w:t>
      </w:r>
      <w:r w:rsidR="005A7486">
        <w:t>Framework</w:t>
      </w:r>
      <w:r>
        <w:t>. The initiation of a DHR does not automatically constitute</w:t>
      </w:r>
      <w:r w:rsidR="00685DE9">
        <w:t xml:space="preserve"> a serious incident</w:t>
      </w:r>
      <w:r>
        <w:t xml:space="preserve"> in the healthcare service. </w:t>
      </w:r>
    </w:p>
    <w:p w:rsidR="00F927B7" w:rsidRDefault="00F927B7" w:rsidP="00917821"/>
    <w:p w:rsidR="00917821" w:rsidRPr="00917821" w:rsidRDefault="00917821" w:rsidP="00917821">
      <w:pPr>
        <w:rPr>
          <w:b/>
        </w:rPr>
      </w:pPr>
      <w:r w:rsidRPr="00917821">
        <w:rPr>
          <w:b/>
        </w:rPr>
        <w:t>On-going assistance and oversight</w:t>
      </w:r>
      <w:r w:rsidR="000D32E8">
        <w:rPr>
          <w:b/>
        </w:rPr>
        <w:t xml:space="preserve"> for DHRs</w:t>
      </w:r>
    </w:p>
    <w:p w:rsidR="00917821" w:rsidRDefault="00917821" w:rsidP="00917821">
      <w:r>
        <w:t xml:space="preserve">   </w:t>
      </w:r>
    </w:p>
    <w:p w:rsidR="00917821" w:rsidRDefault="00917821" w:rsidP="00917821">
      <w:r w:rsidRPr="004B6730">
        <w:t xml:space="preserve">NHS England </w:t>
      </w:r>
      <w:r w:rsidR="000B6F0A">
        <w:t>regional teams must</w:t>
      </w:r>
      <w:r w:rsidRPr="004B6730">
        <w:t xml:space="preserve"> keep a library of recommendations for panel members to access, and panel member must work with regional leads to ensure recommendation</w:t>
      </w:r>
      <w:r>
        <w:t>s are consistent and achievable. This</w:t>
      </w:r>
      <w:r w:rsidR="000D32E8">
        <w:t xml:space="preserve"> can</w:t>
      </w:r>
      <w:r w:rsidRPr="004B6730">
        <w:t xml:space="preserve"> then fed into an annual Domestic Homicide report.</w:t>
      </w:r>
    </w:p>
    <w:p w:rsidR="00917821" w:rsidRPr="004B6730" w:rsidRDefault="00917821" w:rsidP="00917821"/>
    <w:p w:rsidR="00917821" w:rsidRDefault="00917821" w:rsidP="00917821">
      <w:r>
        <w:t>All regional leads should</w:t>
      </w:r>
      <w:r w:rsidRPr="004B6730">
        <w:t xml:space="preserve"> liaise closely with colleagues in the Home Office to support the review and evaluation of the </w:t>
      </w:r>
      <w:r w:rsidR="000D32E8">
        <w:t xml:space="preserve">Home Office Multi-agency Statutory </w:t>
      </w:r>
      <w:r w:rsidRPr="004B6730">
        <w:t>Guidance</w:t>
      </w:r>
      <w:r w:rsidR="000D32E8">
        <w:t xml:space="preserve"> for the Conduct of Domestic Homicide Reviews</w:t>
      </w:r>
      <w:r w:rsidR="000D32E8">
        <w:rPr>
          <w:rStyle w:val="FootnoteReference"/>
        </w:rPr>
        <w:footnoteReference w:id="60"/>
      </w:r>
      <w:r w:rsidRPr="004B6730">
        <w:t>.</w:t>
      </w:r>
      <w:r>
        <w:t xml:space="preserve"> </w:t>
      </w:r>
      <w:r w:rsidRPr="004B6730">
        <w:t>The four regional leads will produce, with appropriate support, an Annual Report for NHS England on Domestic Homicide and the NHS.</w:t>
      </w:r>
    </w:p>
    <w:p w:rsidR="000D32E8" w:rsidRDefault="000D32E8" w:rsidP="00917821"/>
    <w:p w:rsidR="00340F9B" w:rsidRDefault="000D32E8" w:rsidP="00340F9B">
      <w:pPr>
        <w:ind w:left="75"/>
      </w:pPr>
      <w:r>
        <w:br w:type="page"/>
      </w:r>
    </w:p>
    <w:p w:rsidR="00F555EF" w:rsidRPr="00F555EF" w:rsidRDefault="00F555EF" w:rsidP="00F555EF"/>
    <w:p w:rsidR="005D2131" w:rsidRDefault="003432E4" w:rsidP="00BE15C7">
      <w:pPr>
        <w:pStyle w:val="Heading1"/>
      </w:pPr>
      <w:bookmarkStart w:id="64" w:name="_Toc414568076"/>
      <w:r>
        <w:t>Appendix 5</w:t>
      </w:r>
      <w:r w:rsidR="005D2131">
        <w:t>:</w:t>
      </w:r>
      <w:r>
        <w:t xml:space="preserve"> Assigning Accountability: RASCI model</w:t>
      </w:r>
      <w:bookmarkEnd w:id="64"/>
    </w:p>
    <w:p w:rsidR="00F555EF" w:rsidRPr="00F555EF" w:rsidRDefault="00F555EF" w:rsidP="00F555EF"/>
    <w:p w:rsidR="00F555EF" w:rsidRDefault="00F555EF" w:rsidP="0072371B">
      <w:pPr>
        <w:numPr>
          <w:ilvl w:val="0"/>
          <w:numId w:val="39"/>
        </w:numPr>
        <w:spacing w:after="200" w:line="276" w:lineRule="auto"/>
        <w:rPr>
          <w:lang w:val="en-US"/>
        </w:rPr>
      </w:pPr>
      <w:r>
        <w:rPr>
          <w:lang w:val="en-US"/>
        </w:rPr>
        <w:t>Providers of NHS funded care</w:t>
      </w:r>
      <w:r w:rsidRPr="004B6730">
        <w:rPr>
          <w:lang w:val="en-US"/>
        </w:rPr>
        <w:t xml:space="preserve"> often deliver services commissioned by different commissioning organisations.</w:t>
      </w:r>
      <w:r>
        <w:rPr>
          <w:lang w:val="en-US"/>
        </w:rPr>
        <w:t xml:space="preserve"> These may include, NHS England, multiple CCGS and Local Authorities.</w:t>
      </w:r>
      <w:r w:rsidRPr="004B6730">
        <w:rPr>
          <w:lang w:val="en-US"/>
        </w:rPr>
        <w:t xml:space="preserve"> This can lead to uncertainty </w:t>
      </w:r>
      <w:r>
        <w:rPr>
          <w:lang w:val="en-US"/>
        </w:rPr>
        <w:t xml:space="preserve">and ambiguity in relation to </w:t>
      </w:r>
      <w:r w:rsidRPr="004B6730">
        <w:rPr>
          <w:lang w:val="en-US"/>
        </w:rPr>
        <w:t>serious incide</w:t>
      </w:r>
      <w:r>
        <w:rPr>
          <w:lang w:val="en-US"/>
        </w:rPr>
        <w:t>nt management</w:t>
      </w:r>
      <w:r w:rsidRPr="004B6730">
        <w:rPr>
          <w:lang w:val="en-US"/>
        </w:rPr>
        <w:t>.</w:t>
      </w:r>
    </w:p>
    <w:p w:rsidR="00F555EF" w:rsidRPr="004B6730" w:rsidRDefault="00F555EF" w:rsidP="0072371B">
      <w:pPr>
        <w:numPr>
          <w:ilvl w:val="0"/>
          <w:numId w:val="39"/>
        </w:numPr>
        <w:spacing w:after="200" w:line="276" w:lineRule="auto"/>
        <w:rPr>
          <w:lang w:val="en-US"/>
        </w:rPr>
      </w:pPr>
      <w:r w:rsidRPr="004B6730">
        <w:rPr>
          <w:lang w:val="en-US"/>
        </w:rPr>
        <w:t>The</w:t>
      </w:r>
      <w:r>
        <w:rPr>
          <w:lang w:val="en-US"/>
        </w:rPr>
        <w:t>refore, within each provider (where there are multiple commissioners), it is recommended that a ‘</w:t>
      </w:r>
      <w:r w:rsidRPr="004B6730">
        <w:rPr>
          <w:lang w:val="en-US"/>
        </w:rPr>
        <w:t>lead commissioner</w:t>
      </w:r>
      <w:r>
        <w:rPr>
          <w:lang w:val="en-US"/>
        </w:rPr>
        <w:t xml:space="preserve">’ (usually the commissioner </w:t>
      </w:r>
      <w:r w:rsidRPr="004B6730">
        <w:rPr>
          <w:lang w:val="en-US"/>
        </w:rPr>
        <w:t>w</w:t>
      </w:r>
      <w:r>
        <w:rPr>
          <w:lang w:val="en-US"/>
        </w:rPr>
        <w:t xml:space="preserve">ith the greatest contract value) is identified to </w:t>
      </w:r>
      <w:r w:rsidRPr="004B6730">
        <w:rPr>
          <w:lang w:val="en-US"/>
        </w:rPr>
        <w:t>lead oversight of serious incident management</w:t>
      </w:r>
      <w:r>
        <w:rPr>
          <w:lang w:val="en-US"/>
        </w:rPr>
        <w:t xml:space="preserve"> across the organisation. This should</w:t>
      </w:r>
      <w:r w:rsidRPr="004B6730">
        <w:rPr>
          <w:lang w:val="en-US"/>
        </w:rPr>
        <w:t xml:space="preserve"> be formally agreed for each </w:t>
      </w:r>
      <w:r w:rsidR="001D359A">
        <w:rPr>
          <w:lang w:val="en-US"/>
        </w:rPr>
        <w:t>c</w:t>
      </w:r>
      <w:r w:rsidRPr="004B6730">
        <w:rPr>
          <w:lang w:val="en-US"/>
        </w:rPr>
        <w:t xml:space="preserve">ontract (e.g. through a collaborative agreement). </w:t>
      </w:r>
    </w:p>
    <w:p w:rsidR="00F555EF" w:rsidRDefault="00F555EF" w:rsidP="0072371B">
      <w:pPr>
        <w:numPr>
          <w:ilvl w:val="0"/>
          <w:numId w:val="39"/>
        </w:numPr>
        <w:spacing w:after="200" w:line="276" w:lineRule="auto"/>
        <w:rPr>
          <w:lang w:val="en-US"/>
        </w:rPr>
      </w:pPr>
      <w:r w:rsidRPr="00E21A2B">
        <w:rPr>
          <w:lang w:val="en-US"/>
        </w:rPr>
        <w:t>Accountable commissioners (</w:t>
      </w:r>
      <w:r>
        <w:rPr>
          <w:lang w:val="en-US"/>
        </w:rPr>
        <w:t xml:space="preserve">i.e. </w:t>
      </w:r>
      <w:r w:rsidRPr="00E21A2B">
        <w:rPr>
          <w:lang w:val="en-US"/>
        </w:rPr>
        <w:t xml:space="preserve">contract signatory) must work collaboratively with and through other commissioners, to ensure the reporting arrangements are included </w:t>
      </w:r>
      <w:r>
        <w:rPr>
          <w:lang w:val="en-US"/>
        </w:rPr>
        <w:t>within c</w:t>
      </w:r>
      <w:r w:rsidRPr="00E21A2B">
        <w:rPr>
          <w:lang w:val="en-US"/>
        </w:rPr>
        <w:t>ontract</w:t>
      </w:r>
      <w:r>
        <w:rPr>
          <w:lang w:val="en-US"/>
        </w:rPr>
        <w:t>s</w:t>
      </w:r>
      <w:r w:rsidRPr="00E21A2B">
        <w:rPr>
          <w:lang w:val="en-US"/>
        </w:rPr>
        <w:t>.</w:t>
      </w:r>
      <w:r>
        <w:rPr>
          <w:lang w:val="en-US"/>
        </w:rPr>
        <w:t xml:space="preserve"> Whilst they may delegate responsibilities for serious incident management to other commissioners they remain </w:t>
      </w:r>
      <w:r w:rsidRPr="008B0B5D">
        <w:rPr>
          <w:lang w:val="en-US"/>
        </w:rPr>
        <w:t>accountable for quality assuring the robustness of the serious incident investigation, learning and action plan implementatio</w:t>
      </w:r>
      <w:r>
        <w:rPr>
          <w:lang w:val="en-US"/>
        </w:rPr>
        <w:t>n undertaken by their providers.</w:t>
      </w:r>
    </w:p>
    <w:p w:rsidR="00F555EF" w:rsidRPr="00E21A2B" w:rsidRDefault="00F555EF" w:rsidP="0072371B">
      <w:pPr>
        <w:numPr>
          <w:ilvl w:val="0"/>
          <w:numId w:val="39"/>
        </w:numPr>
        <w:spacing w:after="200" w:line="276" w:lineRule="auto"/>
        <w:rPr>
          <w:lang w:val="en-US"/>
        </w:rPr>
      </w:pPr>
      <w:r>
        <w:rPr>
          <w:lang w:val="en-US"/>
        </w:rPr>
        <w:t>It is recommended that each contract should have a RASCI</w:t>
      </w:r>
      <w:r w:rsidRPr="00E21A2B">
        <w:rPr>
          <w:lang w:val="en-US"/>
        </w:rPr>
        <w:t xml:space="preserve"> (Responsible; Accountable;</w:t>
      </w:r>
      <w:r>
        <w:rPr>
          <w:lang w:val="en-US"/>
        </w:rPr>
        <w:t xml:space="preserve"> Supporting</w:t>
      </w:r>
      <w:r w:rsidR="005E7A17">
        <w:rPr>
          <w:lang w:val="en-US"/>
        </w:rPr>
        <w:t>;</w:t>
      </w:r>
      <w:r w:rsidR="005E7A17" w:rsidRPr="005E7A17">
        <w:t xml:space="preserve"> </w:t>
      </w:r>
      <w:r w:rsidR="005E7A17" w:rsidRPr="005E7A17">
        <w:rPr>
          <w:lang w:val="en-US"/>
        </w:rPr>
        <w:t>Consulting; Informed</w:t>
      </w:r>
      <w:r w:rsidRPr="00E21A2B">
        <w:rPr>
          <w:lang w:val="en-US"/>
        </w:rPr>
        <w:t>) matrix</w:t>
      </w:r>
      <w:r w:rsidR="003A186A">
        <w:rPr>
          <w:lang w:val="en-US"/>
        </w:rPr>
        <w:t xml:space="preserve"> (see table below)</w:t>
      </w:r>
      <w:r>
        <w:rPr>
          <w:lang w:val="en-US"/>
        </w:rPr>
        <w:t xml:space="preserve"> to support the robust and effective oversight management of serious incidents</w:t>
      </w:r>
      <w:r w:rsidRPr="00E21A2B">
        <w:rPr>
          <w:lang w:val="en-US"/>
        </w:rPr>
        <w:t xml:space="preserve">. The </w:t>
      </w:r>
      <w:r>
        <w:rPr>
          <w:lang w:val="en-US"/>
        </w:rPr>
        <w:t xml:space="preserve">matrix must clearly identify the </w:t>
      </w:r>
      <w:r w:rsidRPr="00E21A2B">
        <w:rPr>
          <w:lang w:val="en-US"/>
        </w:rPr>
        <w:t xml:space="preserve">Accountable (Contracting) Commissioner (whether NHS England or a CCG) </w:t>
      </w:r>
      <w:r>
        <w:rPr>
          <w:lang w:val="en-US"/>
        </w:rPr>
        <w:t>regardless of any delegation of management responsibilities.</w:t>
      </w:r>
      <w:r w:rsidRPr="00E21A2B">
        <w:rPr>
          <w:lang w:val="en-US"/>
        </w:rPr>
        <w:t xml:space="preserve"> </w:t>
      </w:r>
    </w:p>
    <w:p w:rsidR="00F555EF" w:rsidRPr="00E21A2B" w:rsidRDefault="00F555EF" w:rsidP="0072371B">
      <w:pPr>
        <w:numPr>
          <w:ilvl w:val="0"/>
          <w:numId w:val="39"/>
        </w:numPr>
        <w:spacing w:after="200" w:line="276" w:lineRule="auto"/>
        <w:rPr>
          <w:lang w:val="en-US"/>
        </w:rPr>
      </w:pPr>
      <w:r>
        <w:rPr>
          <w:lang w:val="en-US"/>
        </w:rPr>
        <w:t xml:space="preserve">Where serious incidents occur within services without a </w:t>
      </w:r>
      <w:r w:rsidR="005E7A17">
        <w:rPr>
          <w:lang w:val="en-US"/>
        </w:rPr>
        <w:t>RASCI</w:t>
      </w:r>
      <w:r>
        <w:rPr>
          <w:lang w:val="en-US"/>
        </w:rPr>
        <w:t xml:space="preserve"> model, it is recommended that a model is developed and agreed by the relevant commissioning organisations to ensure roles and responsibilities in relation to managing the incident are clearly set out.</w:t>
      </w:r>
    </w:p>
    <w:p w:rsidR="00F555EF" w:rsidRDefault="00F555EF" w:rsidP="0072371B">
      <w:pPr>
        <w:numPr>
          <w:ilvl w:val="0"/>
          <w:numId w:val="39"/>
        </w:numPr>
        <w:spacing w:after="200" w:line="276" w:lineRule="auto"/>
        <w:rPr>
          <w:lang w:val="en-US"/>
        </w:rPr>
      </w:pPr>
      <w:r>
        <w:rPr>
          <w:lang w:val="en-US"/>
        </w:rPr>
        <w:t>Involving NHS England as direct commissioners:</w:t>
      </w:r>
    </w:p>
    <w:p w:rsidR="00F555EF" w:rsidRPr="009C7F1D" w:rsidRDefault="00F555EF" w:rsidP="0072371B">
      <w:pPr>
        <w:numPr>
          <w:ilvl w:val="1"/>
          <w:numId w:val="39"/>
        </w:numPr>
        <w:spacing w:after="200" w:line="276" w:lineRule="auto"/>
        <w:rPr>
          <w:lang w:val="en-US"/>
        </w:rPr>
      </w:pPr>
      <w:r w:rsidRPr="009C7F1D">
        <w:rPr>
          <w:lang w:val="en-US"/>
        </w:rPr>
        <w:t>NHS England has direct commissioning responsibilities</w:t>
      </w:r>
      <w:r w:rsidRPr="004B6730">
        <w:rPr>
          <w:vertAlign w:val="superscript"/>
          <w:lang w:val="en-US"/>
        </w:rPr>
        <w:footnoteReference w:id="61"/>
      </w:r>
      <w:r w:rsidRPr="009C7F1D">
        <w:rPr>
          <w:lang w:val="en-US"/>
        </w:rPr>
        <w:t xml:space="preserve"> which are discharged via </w:t>
      </w:r>
      <w:r>
        <w:rPr>
          <w:lang w:val="en-US"/>
        </w:rPr>
        <w:t>its</w:t>
      </w:r>
      <w:r w:rsidRPr="009C7F1D">
        <w:rPr>
          <w:lang w:val="en-US"/>
        </w:rPr>
        <w:t xml:space="preserve"> </w:t>
      </w:r>
      <w:r w:rsidR="000A74CD">
        <w:rPr>
          <w:lang w:val="en-US"/>
        </w:rPr>
        <w:t>sub-regions</w:t>
      </w:r>
      <w:r w:rsidRPr="009C7F1D">
        <w:rPr>
          <w:lang w:val="en-US"/>
        </w:rPr>
        <w:t xml:space="preserve">. </w:t>
      </w:r>
      <w:r>
        <w:rPr>
          <w:lang w:val="en-US"/>
        </w:rPr>
        <w:t>T</w:t>
      </w:r>
      <w:r w:rsidRPr="009C7F1D">
        <w:rPr>
          <w:lang w:val="en-US"/>
        </w:rPr>
        <w:t>he commissioning functions</w:t>
      </w:r>
      <w:r>
        <w:rPr>
          <w:lang w:val="en-US"/>
        </w:rPr>
        <w:t xml:space="preserve"> within the </w:t>
      </w:r>
      <w:r w:rsidR="000A74CD">
        <w:rPr>
          <w:lang w:val="en-US"/>
        </w:rPr>
        <w:t xml:space="preserve">sub-regions </w:t>
      </w:r>
      <w:r>
        <w:rPr>
          <w:lang w:val="en-US"/>
        </w:rPr>
        <w:t>vary</w:t>
      </w:r>
      <w:r w:rsidR="005E7A17">
        <w:rPr>
          <w:lang w:val="en-US"/>
        </w:rPr>
        <w:t xml:space="preserve"> (some have specific functions in commissioning </w:t>
      </w:r>
      <w:r w:rsidR="005E7A17" w:rsidRPr="00466603">
        <w:t>specialised</w:t>
      </w:r>
      <w:r w:rsidR="005E7A17">
        <w:rPr>
          <w:lang w:val="en-US"/>
        </w:rPr>
        <w:t xml:space="preserve"> services or healthcare within the health and justice system for example</w:t>
      </w:r>
      <w:r>
        <w:rPr>
          <w:lang w:val="en-US"/>
        </w:rPr>
        <w:t xml:space="preserve">). Wherever possible however, NHS England is working towards a consistent approach where quality and safety concerns are managed at a local level </w:t>
      </w:r>
      <w:r>
        <w:rPr>
          <w:lang w:val="en-US"/>
        </w:rPr>
        <w:lastRenderedPageBreak/>
        <w:t xml:space="preserve">providing this is feasible given the level of local resource and expertise to manage such concerns.  </w:t>
      </w:r>
    </w:p>
    <w:p w:rsidR="00F555EF" w:rsidRDefault="00F555EF" w:rsidP="0072371B">
      <w:pPr>
        <w:numPr>
          <w:ilvl w:val="1"/>
          <w:numId w:val="39"/>
        </w:numPr>
        <w:spacing w:after="200" w:line="276" w:lineRule="auto"/>
        <w:rPr>
          <w:lang w:val="en-US"/>
        </w:rPr>
      </w:pPr>
      <w:r>
        <w:rPr>
          <w:lang w:val="en-US"/>
        </w:rPr>
        <w:t xml:space="preserve">The functions of NHS England </w:t>
      </w:r>
      <w:r w:rsidR="000A74CD">
        <w:rPr>
          <w:lang w:val="en-US"/>
        </w:rPr>
        <w:t>Sub-region</w:t>
      </w:r>
      <w:r>
        <w:rPr>
          <w:lang w:val="en-US"/>
        </w:rPr>
        <w:t xml:space="preserve">s are described as follows: </w:t>
      </w:r>
    </w:p>
    <w:p w:rsidR="00F555EF" w:rsidRDefault="00F555EF" w:rsidP="0072371B">
      <w:pPr>
        <w:numPr>
          <w:ilvl w:val="2"/>
          <w:numId w:val="40"/>
        </w:numPr>
        <w:spacing w:after="200" w:line="276" w:lineRule="auto"/>
        <w:ind w:left="1560"/>
        <w:rPr>
          <w:lang w:val="en-US"/>
        </w:rPr>
      </w:pPr>
      <w:r w:rsidRPr="00AE6324">
        <w:rPr>
          <w:b/>
          <w:lang w:val="en-US"/>
        </w:rPr>
        <w:t xml:space="preserve">Originating </w:t>
      </w:r>
      <w:r w:rsidR="000A74CD">
        <w:rPr>
          <w:b/>
          <w:lang w:val="en-US"/>
        </w:rPr>
        <w:t>Sub-region</w:t>
      </w:r>
      <w:r w:rsidRPr="00E8342E">
        <w:rPr>
          <w:lang w:val="en-US"/>
        </w:rPr>
        <w:t xml:space="preserve"> –</w:t>
      </w:r>
      <w:r>
        <w:rPr>
          <w:lang w:val="en-US"/>
        </w:rPr>
        <w:t xml:space="preserve"> </w:t>
      </w:r>
      <w:r w:rsidR="000A74CD">
        <w:rPr>
          <w:lang w:val="en-US"/>
        </w:rPr>
        <w:t>Sub-region</w:t>
      </w:r>
      <w:r w:rsidRPr="00E8342E">
        <w:rPr>
          <w:lang w:val="en-US"/>
        </w:rPr>
        <w:t xml:space="preserve"> where the patient comes from.</w:t>
      </w:r>
    </w:p>
    <w:p w:rsidR="00F555EF" w:rsidRDefault="00F555EF" w:rsidP="0072371B">
      <w:pPr>
        <w:pStyle w:val="ListParagraph"/>
        <w:numPr>
          <w:ilvl w:val="2"/>
          <w:numId w:val="40"/>
        </w:numPr>
        <w:spacing w:after="200" w:line="276" w:lineRule="auto"/>
        <w:ind w:left="1560"/>
        <w:rPr>
          <w:lang w:val="en-US"/>
        </w:rPr>
      </w:pPr>
      <w:r w:rsidRPr="00AE6324">
        <w:rPr>
          <w:b/>
          <w:lang w:val="en-US"/>
        </w:rPr>
        <w:t xml:space="preserve">Geographical Host </w:t>
      </w:r>
      <w:r w:rsidR="000A74CD">
        <w:rPr>
          <w:b/>
          <w:lang w:val="en-US"/>
        </w:rPr>
        <w:t>Sub-region</w:t>
      </w:r>
      <w:r w:rsidRPr="00543A4F">
        <w:rPr>
          <w:lang w:val="en-US"/>
        </w:rPr>
        <w:t xml:space="preserve"> (or Local </w:t>
      </w:r>
      <w:r w:rsidR="000A74CD">
        <w:rPr>
          <w:lang w:val="en-US"/>
        </w:rPr>
        <w:t>Sub-region</w:t>
      </w:r>
      <w:r w:rsidRPr="00543A4F">
        <w:rPr>
          <w:lang w:val="en-US"/>
        </w:rPr>
        <w:t xml:space="preserve">) – the </w:t>
      </w:r>
      <w:r w:rsidR="000A74CD">
        <w:rPr>
          <w:lang w:val="en-US"/>
        </w:rPr>
        <w:t>Sub-region</w:t>
      </w:r>
      <w:r w:rsidRPr="00543A4F">
        <w:rPr>
          <w:lang w:val="en-US"/>
        </w:rPr>
        <w:t xml:space="preserve"> in whose local boundary a service is located.  </w:t>
      </w:r>
    </w:p>
    <w:p w:rsidR="00F555EF" w:rsidRPr="009C7F1D" w:rsidRDefault="00F555EF" w:rsidP="00F555EF">
      <w:pPr>
        <w:pStyle w:val="ListParagraph"/>
        <w:ind w:left="1560"/>
        <w:rPr>
          <w:lang w:val="en-US"/>
        </w:rPr>
      </w:pPr>
    </w:p>
    <w:p w:rsidR="00F555EF" w:rsidRPr="003A186A" w:rsidRDefault="00F555EF" w:rsidP="0072371B">
      <w:pPr>
        <w:pStyle w:val="ListParagraph"/>
        <w:numPr>
          <w:ilvl w:val="2"/>
          <w:numId w:val="40"/>
        </w:numPr>
        <w:spacing w:after="200" w:line="276" w:lineRule="auto"/>
        <w:ind w:left="1560"/>
        <w:rPr>
          <w:lang w:val="en-US"/>
        </w:rPr>
      </w:pPr>
      <w:r w:rsidRPr="003A186A">
        <w:rPr>
          <w:b/>
          <w:lang w:val="en-US"/>
        </w:rPr>
        <w:t xml:space="preserve">Functional Host </w:t>
      </w:r>
      <w:r w:rsidR="000A74CD">
        <w:rPr>
          <w:b/>
          <w:lang w:val="en-US"/>
        </w:rPr>
        <w:t>Sub-region</w:t>
      </w:r>
      <w:r w:rsidRPr="003A186A">
        <w:rPr>
          <w:lang w:val="en-US"/>
        </w:rPr>
        <w:t xml:space="preserve"> – </w:t>
      </w:r>
      <w:r w:rsidR="000A74CD">
        <w:rPr>
          <w:lang w:val="en-US"/>
        </w:rPr>
        <w:t>Sub-region</w:t>
      </w:r>
      <w:r w:rsidRPr="003A186A">
        <w:rPr>
          <w:lang w:val="en-US"/>
        </w:rPr>
        <w:t xml:space="preserve">s with additional commissioning responsibilities i.e. specialised commissioning. </w:t>
      </w:r>
      <w:r w:rsidR="003A186A" w:rsidRPr="003A186A">
        <w:rPr>
          <w:lang w:val="en-US"/>
        </w:rPr>
        <w:t>These</w:t>
      </w:r>
      <w:r w:rsidRPr="003A186A">
        <w:rPr>
          <w:lang w:val="en-US"/>
        </w:rPr>
        <w:t xml:space="preserve"> </w:t>
      </w:r>
      <w:r w:rsidR="000A74CD">
        <w:rPr>
          <w:lang w:val="en-US"/>
        </w:rPr>
        <w:t>Sub-region</w:t>
      </w:r>
      <w:r w:rsidRPr="003A186A">
        <w:rPr>
          <w:lang w:val="en-US"/>
        </w:rPr>
        <w:t>s have an extended functional boundary.</w:t>
      </w:r>
      <w:r w:rsidR="003A186A" w:rsidRPr="003A186A">
        <w:rPr>
          <w:lang w:val="en-US"/>
        </w:rPr>
        <w:t xml:space="preserve"> </w:t>
      </w:r>
      <w:r w:rsidRPr="003A186A">
        <w:rPr>
          <w:lang w:val="en-US"/>
        </w:rPr>
        <w:t xml:space="preserve">For specialised commissioning it has been agreed that the Functional Host will support the Geographical host to manage responsibility for quality concerns. The Functional Host will therefore </w:t>
      </w:r>
      <w:r w:rsidR="003A186A" w:rsidRPr="003A186A">
        <w:rPr>
          <w:lang w:val="en-US"/>
        </w:rPr>
        <w:t>populate a RASCI</w:t>
      </w:r>
      <w:r w:rsidRPr="003A186A">
        <w:rPr>
          <w:lang w:val="en-US"/>
        </w:rPr>
        <w:t xml:space="preserve"> template (Responsible; Accountable; Supporting</w:t>
      </w:r>
      <w:r w:rsidR="003A186A">
        <w:t>;</w:t>
      </w:r>
      <w:r w:rsidR="003A186A" w:rsidRPr="003A186A">
        <w:rPr>
          <w:lang w:val="en-US"/>
        </w:rPr>
        <w:t>Consulting; Informed</w:t>
      </w:r>
      <w:r w:rsidRPr="003A186A">
        <w:rPr>
          <w:lang w:val="en-US"/>
        </w:rPr>
        <w:t xml:space="preserve">) for each provider within their “functional” area in readiness to support the Geographical Host </w:t>
      </w:r>
      <w:r w:rsidR="000A74CD">
        <w:rPr>
          <w:lang w:val="en-US"/>
        </w:rPr>
        <w:t>Sub-region</w:t>
      </w:r>
      <w:r w:rsidRPr="003A186A">
        <w:rPr>
          <w:lang w:val="en-US"/>
        </w:rPr>
        <w:t xml:space="preserve"> to undertake their quality assurance functions</w:t>
      </w:r>
      <w:r>
        <w:rPr>
          <w:rStyle w:val="EndnoteReference"/>
          <w:rFonts w:eastAsiaTheme="majorEastAsia"/>
          <w:lang w:val="en-US"/>
        </w:rPr>
        <w:endnoteReference w:id="12"/>
      </w:r>
    </w:p>
    <w:p w:rsidR="00F555EF" w:rsidRDefault="00F555EF" w:rsidP="0072371B">
      <w:pPr>
        <w:numPr>
          <w:ilvl w:val="2"/>
          <w:numId w:val="40"/>
        </w:numPr>
        <w:spacing w:after="200" w:line="276" w:lineRule="auto"/>
        <w:ind w:left="1560"/>
        <w:rPr>
          <w:lang w:val="en-US"/>
        </w:rPr>
      </w:pPr>
      <w:r w:rsidRPr="00AE6324">
        <w:rPr>
          <w:b/>
          <w:lang w:val="en-US"/>
        </w:rPr>
        <w:t xml:space="preserve">Accountable (contracting) </w:t>
      </w:r>
      <w:r w:rsidR="000A74CD">
        <w:rPr>
          <w:b/>
          <w:lang w:val="en-US"/>
        </w:rPr>
        <w:t>Sub-region</w:t>
      </w:r>
      <w:r w:rsidRPr="00E8342E">
        <w:rPr>
          <w:lang w:val="en-US"/>
        </w:rPr>
        <w:t xml:space="preserve"> – the </w:t>
      </w:r>
      <w:r w:rsidR="000A74CD">
        <w:rPr>
          <w:lang w:val="en-US"/>
        </w:rPr>
        <w:t>Sub-region</w:t>
      </w:r>
      <w:r w:rsidRPr="00E8342E">
        <w:rPr>
          <w:lang w:val="en-US"/>
        </w:rPr>
        <w:t xml:space="preserve"> which negotiates and hold</w:t>
      </w:r>
      <w:r>
        <w:rPr>
          <w:lang w:val="en-US"/>
        </w:rPr>
        <w:t xml:space="preserve">s the contract for NHS England and is accountable for </w:t>
      </w:r>
      <w:r w:rsidRPr="00E21A2B">
        <w:rPr>
          <w:lang w:val="en-US"/>
        </w:rPr>
        <w:t xml:space="preserve">quality assuring the robustness of the serious incident investigation, learning and action plan implementation undertaken by their providers </w:t>
      </w:r>
      <w:r w:rsidRPr="00E8342E">
        <w:rPr>
          <w:lang w:val="en-US"/>
        </w:rPr>
        <w:t>accountable for the quality of the services.</w:t>
      </w:r>
      <w:r>
        <w:rPr>
          <w:lang w:val="en-US"/>
        </w:rPr>
        <w:t xml:space="preserve"> This </w:t>
      </w:r>
      <w:r w:rsidR="000A74CD">
        <w:rPr>
          <w:lang w:val="en-US"/>
        </w:rPr>
        <w:t>Sub-region</w:t>
      </w:r>
      <w:r>
        <w:rPr>
          <w:lang w:val="en-US"/>
        </w:rPr>
        <w:t xml:space="preserve"> may also be the geographical and/or functional host.</w:t>
      </w:r>
    </w:p>
    <w:p w:rsidR="00F555EF" w:rsidRPr="005E7A17" w:rsidRDefault="00F555EF" w:rsidP="0072371B">
      <w:pPr>
        <w:pStyle w:val="ListParagraph"/>
        <w:numPr>
          <w:ilvl w:val="0"/>
          <w:numId w:val="39"/>
        </w:numPr>
        <w:spacing w:after="200" w:line="276" w:lineRule="auto"/>
        <w:rPr>
          <w:lang w:val="en-US"/>
        </w:rPr>
        <w:sectPr w:rsidR="00F555EF" w:rsidRPr="005E7A17" w:rsidSect="00137788">
          <w:headerReference w:type="default" r:id="rId36"/>
          <w:footerReference w:type="default" r:id="rId37"/>
          <w:pgSz w:w="11906" w:h="16838"/>
          <w:pgMar w:top="1276" w:right="1276" w:bottom="1440" w:left="1418" w:header="709" w:footer="709" w:gutter="0"/>
          <w:pgNumType w:start="0"/>
          <w:cols w:space="708"/>
          <w:titlePg/>
          <w:docGrid w:linePitch="360"/>
        </w:sectPr>
      </w:pPr>
      <w:r w:rsidRPr="005E7A17">
        <w:rPr>
          <w:lang w:val="en-US"/>
        </w:rPr>
        <w:t xml:space="preserve">In some circumstances the originating, geographical host, functional host and accountable (contracting) </w:t>
      </w:r>
      <w:r w:rsidR="000A74CD">
        <w:rPr>
          <w:lang w:val="en-US"/>
        </w:rPr>
        <w:t>Sub-region</w:t>
      </w:r>
      <w:r w:rsidRPr="005E7A17">
        <w:rPr>
          <w:lang w:val="en-US"/>
        </w:rPr>
        <w:t xml:space="preserve"> are all located in different </w:t>
      </w:r>
      <w:r w:rsidR="000A74CD">
        <w:rPr>
          <w:lang w:val="en-US"/>
        </w:rPr>
        <w:t>Sub-region</w:t>
      </w:r>
      <w:r w:rsidR="00462720">
        <w:rPr>
          <w:lang w:val="en-US"/>
        </w:rPr>
        <w:t>s and in such circumstance a RASC</w:t>
      </w:r>
      <w:r w:rsidRPr="005E7A17">
        <w:rPr>
          <w:lang w:val="en-US"/>
        </w:rPr>
        <w:t>I model prove</w:t>
      </w:r>
      <w:r w:rsidR="00462720">
        <w:rPr>
          <w:lang w:val="en-US"/>
        </w:rPr>
        <w:t>s</w:t>
      </w:r>
      <w:r w:rsidRPr="005E7A17">
        <w:rPr>
          <w:lang w:val="en-US"/>
        </w:rPr>
        <w:t xml:space="preserve"> fundamental for ensuring serious incident are appropriately managed.</w:t>
      </w:r>
    </w:p>
    <w:p w:rsidR="00F555EF" w:rsidRDefault="001D359A" w:rsidP="00F555EF">
      <w:r>
        <w:lastRenderedPageBreak/>
        <w:t>Annexe</w:t>
      </w:r>
      <w:r w:rsidR="00F555EF">
        <w:t>1: RASCI Template (example only- to be adapted locally)</w:t>
      </w:r>
    </w:p>
    <w:tbl>
      <w:tblPr>
        <w:tblStyle w:val="TableGrid"/>
        <w:tblW w:w="14579" w:type="dxa"/>
        <w:tblInd w:w="-459" w:type="dxa"/>
        <w:tblLayout w:type="fixed"/>
        <w:tblLook w:val="04A0" w:firstRow="1" w:lastRow="0" w:firstColumn="1" w:lastColumn="0" w:noHBand="0" w:noVBand="1"/>
      </w:tblPr>
      <w:tblGrid>
        <w:gridCol w:w="1456"/>
        <w:gridCol w:w="1380"/>
        <w:gridCol w:w="255"/>
        <w:gridCol w:w="1446"/>
        <w:gridCol w:w="484"/>
        <w:gridCol w:w="1217"/>
        <w:gridCol w:w="1701"/>
        <w:gridCol w:w="1842"/>
        <w:gridCol w:w="1418"/>
        <w:gridCol w:w="1134"/>
        <w:gridCol w:w="1134"/>
        <w:gridCol w:w="1112"/>
      </w:tblGrid>
      <w:tr w:rsidR="00F555EF" w:rsidTr="00F555EF">
        <w:trPr>
          <w:trHeight w:val="923"/>
        </w:trPr>
        <w:tc>
          <w:tcPr>
            <w:tcW w:w="1456" w:type="dxa"/>
            <w:shd w:val="clear" w:color="auto" w:fill="000000" w:themeFill="text1"/>
          </w:tcPr>
          <w:p w:rsidR="00F555EF" w:rsidRDefault="00F555EF" w:rsidP="003A186A">
            <w:r>
              <w:t>Provider:</w:t>
            </w:r>
          </w:p>
        </w:tc>
        <w:tc>
          <w:tcPr>
            <w:tcW w:w="1635" w:type="dxa"/>
            <w:gridSpan w:val="2"/>
          </w:tcPr>
          <w:p w:rsidR="00F555EF" w:rsidRDefault="00F555EF" w:rsidP="003A186A"/>
        </w:tc>
        <w:tc>
          <w:tcPr>
            <w:tcW w:w="1930" w:type="dxa"/>
            <w:gridSpan w:val="2"/>
            <w:shd w:val="clear" w:color="auto" w:fill="000000" w:themeFill="text1"/>
          </w:tcPr>
          <w:p w:rsidR="00F555EF" w:rsidRDefault="00F555EF" w:rsidP="003A186A">
            <w:r>
              <w:t>Services</w:t>
            </w:r>
          </w:p>
          <w:p w:rsidR="00F555EF" w:rsidRDefault="00F555EF" w:rsidP="003A186A">
            <w:r>
              <w:t>And Service Address:</w:t>
            </w:r>
          </w:p>
        </w:tc>
        <w:tc>
          <w:tcPr>
            <w:tcW w:w="9558" w:type="dxa"/>
            <w:gridSpan w:val="7"/>
          </w:tcPr>
          <w:p w:rsidR="00F555EF" w:rsidRDefault="00F555EF" w:rsidP="003A186A"/>
          <w:p w:rsidR="00F555EF" w:rsidRDefault="00F555EF" w:rsidP="003A186A"/>
          <w:p w:rsidR="00F555EF" w:rsidRDefault="00F555EF" w:rsidP="003A186A"/>
        </w:tc>
      </w:tr>
      <w:tr w:rsidR="00F555EF" w:rsidTr="00F555EF">
        <w:trPr>
          <w:trHeight w:val="366"/>
        </w:trPr>
        <w:tc>
          <w:tcPr>
            <w:tcW w:w="1456" w:type="dxa"/>
            <w:vMerge w:val="restart"/>
          </w:tcPr>
          <w:p w:rsidR="00F555EF" w:rsidRDefault="00F555EF" w:rsidP="003A186A"/>
        </w:tc>
        <w:tc>
          <w:tcPr>
            <w:tcW w:w="13123" w:type="dxa"/>
            <w:gridSpan w:val="11"/>
            <w:shd w:val="clear" w:color="auto" w:fill="43AEFF" w:themeFill="text2" w:themeFillTint="99"/>
          </w:tcPr>
          <w:p w:rsidR="00F555EF" w:rsidRDefault="00F555EF" w:rsidP="003A186A">
            <w:pPr>
              <w:jc w:val="center"/>
            </w:pPr>
            <w:r>
              <w:t>Key stakeholders</w:t>
            </w:r>
          </w:p>
        </w:tc>
      </w:tr>
      <w:tr w:rsidR="00F555EF" w:rsidTr="00F555EF">
        <w:trPr>
          <w:trHeight w:val="195"/>
        </w:trPr>
        <w:tc>
          <w:tcPr>
            <w:tcW w:w="1456" w:type="dxa"/>
            <w:vMerge/>
          </w:tcPr>
          <w:p w:rsidR="00F555EF" w:rsidRDefault="00F555EF" w:rsidP="003A186A"/>
        </w:tc>
        <w:tc>
          <w:tcPr>
            <w:tcW w:w="3081" w:type="dxa"/>
            <w:gridSpan w:val="3"/>
          </w:tcPr>
          <w:p w:rsidR="00F555EF" w:rsidRDefault="00F555EF" w:rsidP="003A186A"/>
        </w:tc>
        <w:tc>
          <w:tcPr>
            <w:tcW w:w="6662" w:type="dxa"/>
            <w:gridSpan w:val="5"/>
            <w:shd w:val="clear" w:color="auto" w:fill="BFBFBF" w:themeFill="background1" w:themeFillShade="BF"/>
          </w:tcPr>
          <w:p w:rsidR="00F555EF" w:rsidRDefault="00F555EF" w:rsidP="003A186A">
            <w:r>
              <w:t>NHS England</w:t>
            </w:r>
          </w:p>
        </w:tc>
        <w:tc>
          <w:tcPr>
            <w:tcW w:w="3380" w:type="dxa"/>
            <w:gridSpan w:val="3"/>
          </w:tcPr>
          <w:p w:rsidR="00F555EF" w:rsidRDefault="00F555EF" w:rsidP="003A186A"/>
        </w:tc>
      </w:tr>
      <w:tr w:rsidR="00F555EF" w:rsidTr="00F555EF">
        <w:trPr>
          <w:trHeight w:val="876"/>
        </w:trPr>
        <w:tc>
          <w:tcPr>
            <w:tcW w:w="1456" w:type="dxa"/>
            <w:vMerge/>
          </w:tcPr>
          <w:p w:rsidR="00F555EF" w:rsidRDefault="00F555EF" w:rsidP="003A186A"/>
        </w:tc>
        <w:tc>
          <w:tcPr>
            <w:tcW w:w="1380" w:type="dxa"/>
          </w:tcPr>
          <w:p w:rsidR="00F555EF" w:rsidRPr="00BB3BEF" w:rsidRDefault="00F555EF" w:rsidP="003A186A">
            <w:pPr>
              <w:rPr>
                <w:sz w:val="20"/>
                <w:szCs w:val="20"/>
              </w:rPr>
            </w:pPr>
            <w:r w:rsidRPr="00BB3BEF">
              <w:rPr>
                <w:sz w:val="20"/>
                <w:szCs w:val="20"/>
              </w:rPr>
              <w:t>Geographical Host CCG</w:t>
            </w:r>
          </w:p>
        </w:tc>
        <w:tc>
          <w:tcPr>
            <w:tcW w:w="1701" w:type="dxa"/>
            <w:gridSpan w:val="2"/>
          </w:tcPr>
          <w:p w:rsidR="00F555EF" w:rsidRPr="00BB3BEF" w:rsidRDefault="00F555EF" w:rsidP="003A186A">
            <w:pPr>
              <w:rPr>
                <w:sz w:val="20"/>
                <w:szCs w:val="20"/>
              </w:rPr>
            </w:pPr>
            <w:r w:rsidRPr="00BB3BEF">
              <w:rPr>
                <w:sz w:val="20"/>
                <w:szCs w:val="20"/>
              </w:rPr>
              <w:t>Geographical Host Local Authority</w:t>
            </w:r>
          </w:p>
        </w:tc>
        <w:tc>
          <w:tcPr>
            <w:tcW w:w="1701" w:type="dxa"/>
            <w:gridSpan w:val="2"/>
          </w:tcPr>
          <w:p w:rsidR="00F555EF" w:rsidRPr="00BB3BEF" w:rsidRDefault="00F555EF" w:rsidP="003A186A">
            <w:pPr>
              <w:rPr>
                <w:sz w:val="20"/>
                <w:szCs w:val="20"/>
              </w:rPr>
            </w:pPr>
            <w:r w:rsidRPr="00BB3BEF">
              <w:rPr>
                <w:sz w:val="20"/>
                <w:szCs w:val="20"/>
              </w:rPr>
              <w:t xml:space="preserve">Geographical Host </w:t>
            </w:r>
            <w:r w:rsidR="000A74CD">
              <w:rPr>
                <w:sz w:val="20"/>
                <w:szCs w:val="20"/>
              </w:rPr>
              <w:t>Sub-region</w:t>
            </w:r>
            <w:r w:rsidRPr="00BB3BEF">
              <w:rPr>
                <w:sz w:val="20"/>
                <w:szCs w:val="20"/>
              </w:rPr>
              <w:t xml:space="preserve"> </w:t>
            </w:r>
          </w:p>
        </w:tc>
        <w:tc>
          <w:tcPr>
            <w:tcW w:w="1701" w:type="dxa"/>
          </w:tcPr>
          <w:p w:rsidR="00F555EF" w:rsidRPr="00BB3BEF" w:rsidRDefault="00F555EF" w:rsidP="003A186A">
            <w:pPr>
              <w:rPr>
                <w:sz w:val="20"/>
                <w:szCs w:val="20"/>
              </w:rPr>
            </w:pPr>
            <w:r w:rsidRPr="00BB3BEF">
              <w:rPr>
                <w:sz w:val="20"/>
                <w:szCs w:val="20"/>
              </w:rPr>
              <w:t xml:space="preserve">Functional Host </w:t>
            </w:r>
            <w:r w:rsidR="000A74CD">
              <w:rPr>
                <w:sz w:val="20"/>
                <w:szCs w:val="20"/>
              </w:rPr>
              <w:t>Sub-region</w:t>
            </w:r>
          </w:p>
        </w:tc>
        <w:tc>
          <w:tcPr>
            <w:tcW w:w="1842" w:type="dxa"/>
          </w:tcPr>
          <w:p w:rsidR="00F555EF" w:rsidRPr="00BB3BEF" w:rsidRDefault="00F555EF" w:rsidP="003A186A">
            <w:pPr>
              <w:rPr>
                <w:sz w:val="20"/>
                <w:szCs w:val="20"/>
              </w:rPr>
            </w:pPr>
            <w:r w:rsidRPr="00BB3BEF">
              <w:rPr>
                <w:sz w:val="20"/>
                <w:szCs w:val="20"/>
              </w:rPr>
              <w:t xml:space="preserve">Contracting </w:t>
            </w:r>
            <w:r w:rsidR="000A74CD">
              <w:rPr>
                <w:sz w:val="20"/>
                <w:szCs w:val="20"/>
              </w:rPr>
              <w:t>Sub-region</w:t>
            </w:r>
          </w:p>
        </w:tc>
        <w:tc>
          <w:tcPr>
            <w:tcW w:w="1418" w:type="dxa"/>
          </w:tcPr>
          <w:p w:rsidR="00F555EF" w:rsidRPr="00BB3BEF" w:rsidRDefault="00F555EF" w:rsidP="003A186A">
            <w:pPr>
              <w:rPr>
                <w:sz w:val="20"/>
                <w:szCs w:val="20"/>
              </w:rPr>
            </w:pPr>
            <w:r w:rsidRPr="00BB3BEF">
              <w:rPr>
                <w:sz w:val="20"/>
                <w:szCs w:val="20"/>
              </w:rPr>
              <w:t xml:space="preserve">Originating </w:t>
            </w:r>
            <w:r w:rsidR="000A74CD">
              <w:rPr>
                <w:sz w:val="20"/>
                <w:szCs w:val="20"/>
              </w:rPr>
              <w:t>Sub-region</w:t>
            </w:r>
            <w:r w:rsidRPr="00BB3BEF">
              <w:rPr>
                <w:sz w:val="20"/>
                <w:szCs w:val="20"/>
              </w:rPr>
              <w:t xml:space="preserve"> </w:t>
            </w:r>
          </w:p>
        </w:tc>
        <w:tc>
          <w:tcPr>
            <w:tcW w:w="1134" w:type="dxa"/>
          </w:tcPr>
          <w:p w:rsidR="00F555EF" w:rsidRPr="00BB3BEF" w:rsidRDefault="00F555EF" w:rsidP="003A186A">
            <w:pPr>
              <w:rPr>
                <w:sz w:val="20"/>
                <w:szCs w:val="20"/>
              </w:rPr>
            </w:pPr>
            <w:r w:rsidRPr="00BB3BEF">
              <w:rPr>
                <w:sz w:val="20"/>
                <w:szCs w:val="20"/>
              </w:rPr>
              <w:t>CQC</w:t>
            </w:r>
          </w:p>
        </w:tc>
        <w:tc>
          <w:tcPr>
            <w:tcW w:w="1134" w:type="dxa"/>
          </w:tcPr>
          <w:p w:rsidR="00F555EF" w:rsidRDefault="00F555EF" w:rsidP="003A186A">
            <w:pPr>
              <w:rPr>
                <w:sz w:val="20"/>
                <w:szCs w:val="20"/>
              </w:rPr>
            </w:pPr>
            <w:r>
              <w:rPr>
                <w:sz w:val="20"/>
                <w:szCs w:val="20"/>
              </w:rPr>
              <w:t>Monitor/</w:t>
            </w:r>
          </w:p>
          <w:p w:rsidR="00F555EF" w:rsidRPr="00BB3BEF" w:rsidRDefault="00F555EF" w:rsidP="003A186A">
            <w:pPr>
              <w:rPr>
                <w:sz w:val="20"/>
                <w:szCs w:val="20"/>
              </w:rPr>
            </w:pPr>
            <w:r>
              <w:rPr>
                <w:sz w:val="20"/>
                <w:szCs w:val="20"/>
              </w:rPr>
              <w:t>TDA</w:t>
            </w:r>
          </w:p>
        </w:tc>
        <w:tc>
          <w:tcPr>
            <w:tcW w:w="1112" w:type="dxa"/>
          </w:tcPr>
          <w:p w:rsidR="00F555EF" w:rsidRDefault="00F555EF" w:rsidP="003A186A">
            <w:pPr>
              <w:rPr>
                <w:sz w:val="20"/>
                <w:szCs w:val="20"/>
              </w:rPr>
            </w:pPr>
            <w:r>
              <w:rPr>
                <w:sz w:val="20"/>
                <w:szCs w:val="20"/>
              </w:rPr>
              <w:t>Other- please state:</w:t>
            </w:r>
          </w:p>
          <w:p w:rsidR="00F555EF" w:rsidRDefault="00F555EF" w:rsidP="003A186A">
            <w:pPr>
              <w:rPr>
                <w:sz w:val="20"/>
                <w:szCs w:val="20"/>
              </w:rPr>
            </w:pPr>
          </w:p>
        </w:tc>
      </w:tr>
      <w:tr w:rsidR="00F555EF" w:rsidTr="00F555EF">
        <w:trPr>
          <w:trHeight w:val="711"/>
        </w:trPr>
        <w:tc>
          <w:tcPr>
            <w:tcW w:w="1456" w:type="dxa"/>
            <w:shd w:val="clear" w:color="auto" w:fill="F2F2F2" w:themeFill="background1" w:themeFillShade="F2"/>
          </w:tcPr>
          <w:p w:rsidR="00F555EF" w:rsidRDefault="00F555EF" w:rsidP="003A186A">
            <w:r>
              <w:t>Organisation name:</w:t>
            </w:r>
          </w:p>
        </w:tc>
        <w:tc>
          <w:tcPr>
            <w:tcW w:w="1380" w:type="dxa"/>
            <w:shd w:val="clear" w:color="auto" w:fill="F2F2F2" w:themeFill="background1" w:themeFillShade="F2"/>
          </w:tcPr>
          <w:p w:rsidR="00F555EF" w:rsidRDefault="00F555EF" w:rsidP="003A186A"/>
        </w:tc>
        <w:tc>
          <w:tcPr>
            <w:tcW w:w="1701" w:type="dxa"/>
            <w:gridSpan w:val="2"/>
            <w:shd w:val="clear" w:color="auto" w:fill="F2F2F2" w:themeFill="background1" w:themeFillShade="F2"/>
          </w:tcPr>
          <w:p w:rsidR="00F555EF" w:rsidRDefault="00F555EF" w:rsidP="003A186A"/>
        </w:tc>
        <w:tc>
          <w:tcPr>
            <w:tcW w:w="1701" w:type="dxa"/>
            <w:gridSpan w:val="2"/>
            <w:shd w:val="clear" w:color="auto" w:fill="F2F2F2" w:themeFill="background1" w:themeFillShade="F2"/>
          </w:tcPr>
          <w:p w:rsidR="00F555EF" w:rsidRDefault="00F555EF" w:rsidP="003A186A"/>
        </w:tc>
        <w:tc>
          <w:tcPr>
            <w:tcW w:w="1701" w:type="dxa"/>
            <w:shd w:val="clear" w:color="auto" w:fill="F2F2F2" w:themeFill="background1" w:themeFillShade="F2"/>
          </w:tcPr>
          <w:p w:rsidR="00F555EF" w:rsidRDefault="00F555EF" w:rsidP="003A186A"/>
        </w:tc>
        <w:tc>
          <w:tcPr>
            <w:tcW w:w="1842" w:type="dxa"/>
            <w:shd w:val="clear" w:color="auto" w:fill="F2F2F2" w:themeFill="background1" w:themeFillShade="F2"/>
          </w:tcPr>
          <w:p w:rsidR="00F555EF" w:rsidRDefault="00F555EF" w:rsidP="003A186A"/>
        </w:tc>
        <w:tc>
          <w:tcPr>
            <w:tcW w:w="1418" w:type="dxa"/>
            <w:shd w:val="clear" w:color="auto" w:fill="F2F2F2" w:themeFill="background1" w:themeFillShade="F2"/>
          </w:tcPr>
          <w:p w:rsidR="00F555EF" w:rsidRDefault="00F555EF" w:rsidP="003A186A"/>
        </w:tc>
        <w:tc>
          <w:tcPr>
            <w:tcW w:w="1134" w:type="dxa"/>
            <w:shd w:val="clear" w:color="auto" w:fill="F2F2F2" w:themeFill="background1" w:themeFillShade="F2"/>
          </w:tcPr>
          <w:p w:rsidR="00F555EF" w:rsidRDefault="00F555EF" w:rsidP="003A186A"/>
        </w:tc>
        <w:tc>
          <w:tcPr>
            <w:tcW w:w="1134" w:type="dxa"/>
            <w:shd w:val="clear" w:color="auto" w:fill="F2F2F2" w:themeFill="background1" w:themeFillShade="F2"/>
          </w:tcPr>
          <w:p w:rsidR="00F555EF" w:rsidRDefault="00F555EF" w:rsidP="003A186A"/>
        </w:tc>
        <w:tc>
          <w:tcPr>
            <w:tcW w:w="1112" w:type="dxa"/>
            <w:shd w:val="clear" w:color="auto" w:fill="F2F2F2" w:themeFill="background1" w:themeFillShade="F2"/>
          </w:tcPr>
          <w:p w:rsidR="00F555EF" w:rsidRDefault="00F555EF" w:rsidP="003A186A"/>
        </w:tc>
      </w:tr>
      <w:tr w:rsidR="00F555EF" w:rsidTr="00F555EF">
        <w:trPr>
          <w:trHeight w:val="1463"/>
        </w:trPr>
        <w:tc>
          <w:tcPr>
            <w:tcW w:w="1456" w:type="dxa"/>
          </w:tcPr>
          <w:p w:rsidR="00F555EF" w:rsidRDefault="00F555EF" w:rsidP="003A186A">
            <w:r>
              <w:t xml:space="preserve">Function for Serious Incident Oversight </w:t>
            </w:r>
          </w:p>
          <w:p w:rsidR="00F555EF" w:rsidRDefault="00F555EF" w:rsidP="003A186A">
            <w:r>
              <w:t>(RASCI)</w:t>
            </w:r>
          </w:p>
        </w:tc>
        <w:tc>
          <w:tcPr>
            <w:tcW w:w="1380" w:type="dxa"/>
          </w:tcPr>
          <w:p w:rsidR="00F555EF" w:rsidRDefault="00F555EF" w:rsidP="003A186A"/>
        </w:tc>
        <w:tc>
          <w:tcPr>
            <w:tcW w:w="1701" w:type="dxa"/>
            <w:gridSpan w:val="2"/>
          </w:tcPr>
          <w:p w:rsidR="00F555EF" w:rsidRDefault="00F555EF" w:rsidP="003A186A"/>
        </w:tc>
        <w:tc>
          <w:tcPr>
            <w:tcW w:w="1701" w:type="dxa"/>
            <w:gridSpan w:val="2"/>
          </w:tcPr>
          <w:p w:rsidR="00F555EF" w:rsidRDefault="00F555EF" w:rsidP="003A186A"/>
        </w:tc>
        <w:tc>
          <w:tcPr>
            <w:tcW w:w="1701" w:type="dxa"/>
          </w:tcPr>
          <w:p w:rsidR="00F555EF" w:rsidRDefault="00F555EF" w:rsidP="003A186A"/>
        </w:tc>
        <w:tc>
          <w:tcPr>
            <w:tcW w:w="1842" w:type="dxa"/>
          </w:tcPr>
          <w:p w:rsidR="00F555EF" w:rsidRDefault="00F555EF" w:rsidP="003A186A"/>
        </w:tc>
        <w:tc>
          <w:tcPr>
            <w:tcW w:w="1418" w:type="dxa"/>
          </w:tcPr>
          <w:p w:rsidR="00F555EF" w:rsidRDefault="00F555EF" w:rsidP="003A186A"/>
        </w:tc>
        <w:tc>
          <w:tcPr>
            <w:tcW w:w="1134" w:type="dxa"/>
          </w:tcPr>
          <w:p w:rsidR="00F555EF" w:rsidRDefault="00F555EF" w:rsidP="003A186A"/>
        </w:tc>
        <w:tc>
          <w:tcPr>
            <w:tcW w:w="1134" w:type="dxa"/>
          </w:tcPr>
          <w:p w:rsidR="00F555EF" w:rsidRDefault="00F555EF" w:rsidP="003A186A"/>
        </w:tc>
        <w:tc>
          <w:tcPr>
            <w:tcW w:w="1112" w:type="dxa"/>
          </w:tcPr>
          <w:p w:rsidR="00F555EF" w:rsidRDefault="00F555EF" w:rsidP="003A186A"/>
        </w:tc>
      </w:tr>
      <w:tr w:rsidR="00F555EF" w:rsidTr="00F555EF">
        <w:trPr>
          <w:trHeight w:val="383"/>
        </w:trPr>
        <w:tc>
          <w:tcPr>
            <w:tcW w:w="14579" w:type="dxa"/>
            <w:gridSpan w:val="12"/>
            <w:shd w:val="clear" w:color="auto" w:fill="000000" w:themeFill="text1"/>
          </w:tcPr>
          <w:p w:rsidR="00F555EF" w:rsidRPr="004C7DF6" w:rsidRDefault="00F555EF" w:rsidP="003A186A">
            <w:pPr>
              <w:rPr>
                <w:b/>
                <w:szCs w:val="24"/>
              </w:rPr>
            </w:pPr>
            <w:r>
              <w:rPr>
                <w:b/>
                <w:szCs w:val="24"/>
              </w:rPr>
              <w:t>RASCI Definitions</w:t>
            </w:r>
            <w:r>
              <w:rPr>
                <w:rStyle w:val="FootnoteReference"/>
                <w:b/>
                <w:szCs w:val="24"/>
              </w:rPr>
              <w:footnoteReference w:id="62"/>
            </w:r>
            <w:r>
              <w:rPr>
                <w:b/>
                <w:szCs w:val="24"/>
              </w:rPr>
              <w:t xml:space="preserve"> </w:t>
            </w:r>
          </w:p>
        </w:tc>
      </w:tr>
      <w:tr w:rsidR="00F555EF" w:rsidTr="00F555EF">
        <w:trPr>
          <w:trHeight w:val="383"/>
        </w:trPr>
        <w:tc>
          <w:tcPr>
            <w:tcW w:w="14579" w:type="dxa"/>
            <w:gridSpan w:val="12"/>
            <w:shd w:val="clear" w:color="auto" w:fill="66FF66"/>
          </w:tcPr>
          <w:p w:rsidR="00F555EF" w:rsidRPr="008F5B6E" w:rsidRDefault="00F555EF" w:rsidP="003A186A">
            <w:pPr>
              <w:rPr>
                <w:szCs w:val="24"/>
              </w:rPr>
            </w:pPr>
            <w:r w:rsidRPr="00694705">
              <w:rPr>
                <w:i/>
                <w:szCs w:val="24"/>
              </w:rPr>
              <w:t>Responsible</w:t>
            </w:r>
            <w:r>
              <w:rPr>
                <w:szCs w:val="24"/>
              </w:rPr>
              <w:t xml:space="preserve"> - </w:t>
            </w:r>
            <w:r w:rsidRPr="008F5B6E">
              <w:rPr>
                <w:b/>
                <w:szCs w:val="24"/>
              </w:rPr>
              <w:t>(</w:t>
            </w:r>
            <w:r w:rsidRPr="008F5B6E">
              <w:rPr>
                <w:szCs w:val="24"/>
              </w:rPr>
              <w:t>Doer) - The team assigned to do the work</w:t>
            </w:r>
          </w:p>
          <w:p w:rsidR="00F555EF" w:rsidRPr="004C7DF6" w:rsidRDefault="00F555EF" w:rsidP="003A186A">
            <w:pPr>
              <w:rPr>
                <w:szCs w:val="24"/>
              </w:rPr>
            </w:pPr>
          </w:p>
        </w:tc>
      </w:tr>
      <w:tr w:rsidR="00F555EF" w:rsidTr="00F555EF">
        <w:trPr>
          <w:trHeight w:val="288"/>
        </w:trPr>
        <w:tc>
          <w:tcPr>
            <w:tcW w:w="14579" w:type="dxa"/>
            <w:gridSpan w:val="12"/>
            <w:shd w:val="clear" w:color="auto" w:fill="FF0000"/>
          </w:tcPr>
          <w:p w:rsidR="00F555EF" w:rsidRDefault="00F555EF" w:rsidP="003A186A">
            <w:r w:rsidRPr="004C7DF6">
              <w:t>Accountable - (Buck stops here) - The team making the final decision with ultimate ownership</w:t>
            </w:r>
          </w:p>
          <w:p w:rsidR="00F555EF" w:rsidRDefault="00F555EF" w:rsidP="003A186A"/>
        </w:tc>
      </w:tr>
      <w:tr w:rsidR="00F555EF" w:rsidTr="00F555EF">
        <w:trPr>
          <w:trHeight w:val="560"/>
        </w:trPr>
        <w:tc>
          <w:tcPr>
            <w:tcW w:w="14579" w:type="dxa"/>
            <w:gridSpan w:val="12"/>
            <w:shd w:val="clear" w:color="auto" w:fill="FFC000"/>
          </w:tcPr>
          <w:p w:rsidR="00F555EF" w:rsidRDefault="00F555EF" w:rsidP="003A186A">
            <w:r w:rsidRPr="00F555EF">
              <w:t xml:space="preserve">Supporting - (Here to help) - The functional host </w:t>
            </w:r>
            <w:r w:rsidR="000A74CD">
              <w:t>Sub-region</w:t>
            </w:r>
            <w:r w:rsidRPr="00F555EF">
              <w:t xml:space="preserve"> that will support the geographical host </w:t>
            </w:r>
            <w:r w:rsidR="000A74CD">
              <w:t>Sub-region</w:t>
            </w:r>
            <w:r w:rsidRPr="00F555EF">
              <w:t xml:space="preserve"> and the contracting host </w:t>
            </w:r>
            <w:r w:rsidR="000A74CD">
              <w:t>Sub-region</w:t>
            </w:r>
            <w:r w:rsidRPr="00F555EF">
              <w:t xml:space="preserve"> in undertaking their quality assurance functions including ensuring there is timely reporting, investigation and learning and action plan implementation undertaken by the provider in response to serious incidents</w:t>
            </w:r>
          </w:p>
          <w:p w:rsidR="00F555EF" w:rsidRDefault="00F555EF" w:rsidP="003A186A"/>
        </w:tc>
      </w:tr>
      <w:tr w:rsidR="00F555EF" w:rsidTr="00F555EF">
        <w:trPr>
          <w:trHeight w:val="560"/>
        </w:trPr>
        <w:tc>
          <w:tcPr>
            <w:tcW w:w="14579" w:type="dxa"/>
            <w:gridSpan w:val="12"/>
            <w:shd w:val="clear" w:color="auto" w:fill="00B0F0"/>
          </w:tcPr>
          <w:p w:rsidR="00F555EF" w:rsidRDefault="00F555EF" w:rsidP="003A186A">
            <w:r w:rsidRPr="00F555EF">
              <w:t>Consulted - (In the Loop) - The team that must be consulted before a decision or action is taken</w:t>
            </w:r>
          </w:p>
        </w:tc>
      </w:tr>
      <w:tr w:rsidR="00F555EF" w:rsidTr="00F555EF">
        <w:trPr>
          <w:trHeight w:val="560"/>
        </w:trPr>
        <w:tc>
          <w:tcPr>
            <w:tcW w:w="14579" w:type="dxa"/>
            <w:gridSpan w:val="12"/>
            <w:shd w:val="clear" w:color="auto" w:fill="45CAFF" w:themeFill="accent4" w:themeFillTint="99"/>
          </w:tcPr>
          <w:p w:rsidR="00F555EF" w:rsidRDefault="00F555EF" w:rsidP="00F555EF">
            <w:r w:rsidRPr="00F555EF">
              <w:t>Informed - (For Your Information) - The team which must be informed that a decision or action has been taken</w:t>
            </w:r>
          </w:p>
        </w:tc>
      </w:tr>
    </w:tbl>
    <w:p w:rsidR="00F555EF" w:rsidRDefault="00F555EF" w:rsidP="00F555EF">
      <w:pPr>
        <w:sectPr w:rsidR="00F555EF" w:rsidSect="003A186A">
          <w:pgSz w:w="16838" w:h="11906" w:orient="landscape"/>
          <w:pgMar w:top="851" w:right="1276" w:bottom="1276" w:left="1440" w:header="709" w:footer="709" w:gutter="0"/>
          <w:cols w:space="708"/>
          <w:docGrid w:linePitch="360"/>
        </w:sectPr>
      </w:pPr>
    </w:p>
    <w:p w:rsidR="005E7A17" w:rsidRDefault="003432E4" w:rsidP="00AF44E1">
      <w:pPr>
        <w:pStyle w:val="Heading1"/>
      </w:pPr>
      <w:bookmarkStart w:id="65" w:name="_Toc414568077"/>
      <w:r>
        <w:lastRenderedPageBreak/>
        <w:t>Appendix 6</w:t>
      </w:r>
      <w:r w:rsidR="005D2131">
        <w:t>:</w:t>
      </w:r>
      <w:r>
        <w:t xml:space="preserve"> Example incident reporting for</w:t>
      </w:r>
      <w:r w:rsidR="00617D44">
        <w:t xml:space="preserve">ms </w:t>
      </w:r>
      <w:r w:rsidR="00617D44" w:rsidRPr="00617D44">
        <w:rPr>
          <w:rStyle w:val="NoSpacingChar"/>
          <w:rFonts w:ascii="Arial" w:hAnsi="Arial" w:cs="Arial"/>
          <w:sz w:val="28"/>
        </w:rPr>
        <w:t>(either template can be used)</w:t>
      </w:r>
      <w:bookmarkEnd w:id="65"/>
    </w:p>
    <w:p w:rsidR="00617D44" w:rsidRDefault="00617D44" w:rsidP="00617D44"/>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7143"/>
      </w:tblGrid>
      <w:tr w:rsidR="005E7A17" w:rsidRPr="008073B4" w:rsidTr="005E7A17">
        <w:trPr>
          <w:trHeight w:val="455"/>
        </w:trPr>
        <w:tc>
          <w:tcPr>
            <w:tcW w:w="10632" w:type="dxa"/>
            <w:gridSpan w:val="2"/>
            <w:shd w:val="clear" w:color="auto" w:fill="333333"/>
          </w:tcPr>
          <w:p w:rsidR="005E7A17" w:rsidRPr="008073B4" w:rsidRDefault="005E7A17" w:rsidP="003A186A">
            <w:pPr>
              <w:rPr>
                <w:rFonts w:cs="Arial"/>
                <w:b/>
              </w:rPr>
            </w:pPr>
            <w:r w:rsidRPr="008073B4">
              <w:rPr>
                <w:rFonts w:cs="Arial"/>
                <w:b/>
              </w:rPr>
              <w:t>S</w:t>
            </w:r>
            <w:r>
              <w:rPr>
                <w:rFonts w:cs="Arial"/>
                <w:b/>
              </w:rPr>
              <w:t xml:space="preserve">erious Incident </w:t>
            </w:r>
            <w:r w:rsidRPr="008073B4">
              <w:rPr>
                <w:rFonts w:cs="Arial"/>
                <w:b/>
              </w:rPr>
              <w:t xml:space="preserve">Reference Number:  </w:t>
            </w:r>
          </w:p>
          <w:p w:rsidR="005E7A17" w:rsidRPr="008073B4" w:rsidRDefault="005E7A17" w:rsidP="003A186A">
            <w:pPr>
              <w:rPr>
                <w:rFonts w:cs="Arial"/>
                <w:sz w:val="18"/>
                <w:szCs w:val="18"/>
              </w:rPr>
            </w:pPr>
          </w:p>
        </w:tc>
      </w:tr>
      <w:tr w:rsidR="005E7A17" w:rsidRPr="008073B4" w:rsidTr="005E7A17">
        <w:trPr>
          <w:trHeight w:val="500"/>
        </w:trPr>
        <w:tc>
          <w:tcPr>
            <w:tcW w:w="10632" w:type="dxa"/>
            <w:gridSpan w:val="2"/>
            <w:shd w:val="clear" w:color="auto" w:fill="999999"/>
          </w:tcPr>
          <w:p w:rsidR="005E7A17" w:rsidRPr="008073B4" w:rsidRDefault="005E7A17" w:rsidP="003A186A">
            <w:pPr>
              <w:rPr>
                <w:rFonts w:cs="Arial"/>
                <w:b/>
              </w:rPr>
            </w:pPr>
            <w:r w:rsidRPr="008073B4">
              <w:rPr>
                <w:rFonts w:cs="Arial"/>
                <w:b/>
              </w:rPr>
              <w:t xml:space="preserve">STEIS Identification Number: </w:t>
            </w:r>
          </w:p>
          <w:p w:rsidR="005E7A17" w:rsidRPr="008073B4" w:rsidRDefault="005E7A17" w:rsidP="003A186A">
            <w:pPr>
              <w:rPr>
                <w:rFonts w:cs="Arial"/>
                <w:b/>
              </w:rPr>
            </w:pPr>
          </w:p>
        </w:tc>
      </w:tr>
      <w:tr w:rsidR="005E7A17" w:rsidRPr="008073B4" w:rsidTr="005E7A17">
        <w:trPr>
          <w:trHeight w:val="550"/>
        </w:trPr>
        <w:tc>
          <w:tcPr>
            <w:tcW w:w="3489" w:type="dxa"/>
            <w:shd w:val="clear" w:color="auto" w:fill="auto"/>
          </w:tcPr>
          <w:p w:rsidR="005E7A17" w:rsidRPr="008073B4" w:rsidRDefault="005E7A17" w:rsidP="003A186A">
            <w:pPr>
              <w:rPr>
                <w:rFonts w:cs="Arial"/>
              </w:rPr>
            </w:pPr>
            <w:r w:rsidRPr="008073B4">
              <w:rPr>
                <w:rFonts w:cs="Arial"/>
                <w:b/>
              </w:rPr>
              <w:t>Date/Time/Location of Incident including hospital / ward / team level information</w:t>
            </w:r>
          </w:p>
          <w:p w:rsidR="005E7A17" w:rsidRPr="008073B4" w:rsidRDefault="005E7A17" w:rsidP="003A186A">
            <w:pPr>
              <w:rPr>
                <w:rFonts w:cs="Arial"/>
                <w:b/>
              </w:rPr>
            </w:pPr>
          </w:p>
        </w:tc>
        <w:tc>
          <w:tcPr>
            <w:tcW w:w="7143" w:type="dxa"/>
            <w:shd w:val="clear" w:color="auto" w:fill="auto"/>
          </w:tcPr>
          <w:p w:rsidR="005E7A17" w:rsidRPr="008073B4" w:rsidRDefault="005E7A17" w:rsidP="003A186A">
            <w:pPr>
              <w:rPr>
                <w:rFonts w:cs="Arial"/>
              </w:rPr>
            </w:pPr>
          </w:p>
        </w:tc>
      </w:tr>
      <w:tr w:rsidR="005E7A17" w:rsidRPr="008073B4" w:rsidTr="005E7A17">
        <w:trPr>
          <w:trHeight w:val="594"/>
        </w:trPr>
        <w:tc>
          <w:tcPr>
            <w:tcW w:w="3489" w:type="dxa"/>
            <w:shd w:val="clear" w:color="auto" w:fill="auto"/>
          </w:tcPr>
          <w:p w:rsidR="005E7A17" w:rsidRPr="008073B4" w:rsidRDefault="005E7A17" w:rsidP="003A186A">
            <w:pPr>
              <w:rPr>
                <w:rFonts w:cs="Arial"/>
                <w:b/>
              </w:rPr>
            </w:pPr>
            <w:r w:rsidRPr="008073B4">
              <w:rPr>
                <w:rFonts w:cs="Arial"/>
                <w:b/>
              </w:rPr>
              <w:t xml:space="preserve">Incident type </w:t>
            </w:r>
          </w:p>
        </w:tc>
        <w:tc>
          <w:tcPr>
            <w:tcW w:w="7143" w:type="dxa"/>
            <w:shd w:val="clear" w:color="auto" w:fill="auto"/>
          </w:tcPr>
          <w:p w:rsidR="005E7A17" w:rsidRPr="008073B4" w:rsidRDefault="005E7A17" w:rsidP="003A186A">
            <w:pPr>
              <w:rPr>
                <w:rFonts w:cs="Arial"/>
              </w:rPr>
            </w:pPr>
          </w:p>
        </w:tc>
      </w:tr>
      <w:tr w:rsidR="005E7A17" w:rsidRPr="008073B4" w:rsidTr="005E7A17">
        <w:trPr>
          <w:trHeight w:val="594"/>
        </w:trPr>
        <w:tc>
          <w:tcPr>
            <w:tcW w:w="3489" w:type="dxa"/>
            <w:shd w:val="clear" w:color="auto" w:fill="auto"/>
          </w:tcPr>
          <w:p w:rsidR="005E7A17" w:rsidRPr="008073B4" w:rsidRDefault="005E7A17" w:rsidP="003A186A">
            <w:pPr>
              <w:rPr>
                <w:rFonts w:cs="Arial"/>
                <w:b/>
              </w:rPr>
            </w:pPr>
            <w:r>
              <w:rPr>
                <w:rFonts w:cs="Arial"/>
                <w:b/>
              </w:rPr>
              <w:t xml:space="preserve">Type of investigation expected to be required: Level 1, 2 or 3 </w:t>
            </w:r>
          </w:p>
        </w:tc>
        <w:tc>
          <w:tcPr>
            <w:tcW w:w="7143" w:type="dxa"/>
            <w:shd w:val="clear" w:color="auto" w:fill="auto"/>
          </w:tcPr>
          <w:p w:rsidR="005E7A17" w:rsidRPr="008073B4" w:rsidRDefault="005E7A17" w:rsidP="003A186A">
            <w:pPr>
              <w:rPr>
                <w:rFonts w:cs="Arial"/>
              </w:rPr>
            </w:pPr>
          </w:p>
        </w:tc>
      </w:tr>
      <w:tr w:rsidR="005E7A17" w:rsidRPr="008073B4" w:rsidTr="005E7A17">
        <w:trPr>
          <w:trHeight w:val="898"/>
        </w:trPr>
        <w:tc>
          <w:tcPr>
            <w:tcW w:w="3489" w:type="dxa"/>
            <w:shd w:val="clear" w:color="auto" w:fill="auto"/>
          </w:tcPr>
          <w:p w:rsidR="005E7A17" w:rsidRPr="008073B4" w:rsidRDefault="005E7A17" w:rsidP="003A186A">
            <w:pPr>
              <w:rPr>
                <w:rFonts w:cs="Arial"/>
                <w:b/>
              </w:rPr>
            </w:pPr>
            <w:r w:rsidRPr="008073B4">
              <w:rPr>
                <w:rFonts w:cs="Arial"/>
                <w:b/>
              </w:rPr>
              <w:t>Description of incident including reason for admission and diagnosis (for mental health please include Mental Health Act status and date of referral and last contact)</w:t>
            </w:r>
          </w:p>
        </w:tc>
        <w:tc>
          <w:tcPr>
            <w:tcW w:w="7143" w:type="dxa"/>
            <w:shd w:val="clear" w:color="auto" w:fill="auto"/>
          </w:tcPr>
          <w:p w:rsidR="005E7A17" w:rsidRPr="008073B4" w:rsidRDefault="005E7A17" w:rsidP="003A186A">
            <w:pPr>
              <w:rPr>
                <w:rFonts w:cs="Arial"/>
              </w:rPr>
            </w:pPr>
          </w:p>
        </w:tc>
      </w:tr>
      <w:tr w:rsidR="005E7A17" w:rsidRPr="008073B4" w:rsidTr="005E7A17">
        <w:trPr>
          <w:trHeight w:val="550"/>
        </w:trPr>
        <w:tc>
          <w:tcPr>
            <w:tcW w:w="3489" w:type="dxa"/>
            <w:shd w:val="clear" w:color="auto" w:fill="auto"/>
          </w:tcPr>
          <w:p w:rsidR="005E7A17" w:rsidRPr="008073B4" w:rsidRDefault="005E7A17" w:rsidP="003A186A">
            <w:pPr>
              <w:rPr>
                <w:rFonts w:cs="Arial"/>
                <w:b/>
              </w:rPr>
            </w:pPr>
            <w:r w:rsidRPr="008073B4">
              <w:rPr>
                <w:rFonts w:cs="Arial"/>
                <w:b/>
              </w:rPr>
              <w:t>Details of any police or media involvement/interest</w:t>
            </w:r>
          </w:p>
          <w:p w:rsidR="005E7A17" w:rsidRPr="008073B4" w:rsidRDefault="005E7A17" w:rsidP="003A186A">
            <w:pPr>
              <w:rPr>
                <w:rFonts w:cs="Arial"/>
                <w:b/>
              </w:rPr>
            </w:pPr>
          </w:p>
        </w:tc>
        <w:tc>
          <w:tcPr>
            <w:tcW w:w="7143" w:type="dxa"/>
            <w:shd w:val="clear" w:color="auto" w:fill="auto"/>
          </w:tcPr>
          <w:p w:rsidR="005E7A17" w:rsidRPr="008073B4" w:rsidRDefault="005E7A17" w:rsidP="003A186A">
            <w:pPr>
              <w:rPr>
                <w:rFonts w:cs="Arial"/>
              </w:rPr>
            </w:pPr>
          </w:p>
        </w:tc>
      </w:tr>
      <w:tr w:rsidR="005E7A17" w:rsidRPr="008073B4" w:rsidTr="005E7A17">
        <w:trPr>
          <w:trHeight w:val="550"/>
        </w:trPr>
        <w:tc>
          <w:tcPr>
            <w:tcW w:w="3489" w:type="dxa"/>
            <w:shd w:val="clear" w:color="auto" w:fill="auto"/>
          </w:tcPr>
          <w:p w:rsidR="005E7A17" w:rsidRPr="008073B4" w:rsidRDefault="005E7A17" w:rsidP="003A186A">
            <w:pPr>
              <w:rPr>
                <w:rFonts w:cs="Arial"/>
                <w:b/>
              </w:rPr>
            </w:pPr>
            <w:r w:rsidRPr="008073B4">
              <w:rPr>
                <w:rFonts w:cs="Arial"/>
                <w:b/>
              </w:rPr>
              <w:t>Details of contact with or planned contact patient/family or carers</w:t>
            </w:r>
          </w:p>
          <w:p w:rsidR="005E7A17" w:rsidRPr="008073B4" w:rsidRDefault="005E7A17" w:rsidP="003A186A">
            <w:pPr>
              <w:rPr>
                <w:rFonts w:cs="Arial"/>
                <w:b/>
              </w:rPr>
            </w:pPr>
          </w:p>
        </w:tc>
        <w:tc>
          <w:tcPr>
            <w:tcW w:w="7143" w:type="dxa"/>
            <w:shd w:val="clear" w:color="auto" w:fill="auto"/>
          </w:tcPr>
          <w:p w:rsidR="005E7A17" w:rsidRPr="008073B4" w:rsidRDefault="005E7A17" w:rsidP="003A186A">
            <w:pPr>
              <w:rPr>
                <w:rFonts w:cs="Arial"/>
              </w:rPr>
            </w:pPr>
          </w:p>
        </w:tc>
      </w:tr>
      <w:tr w:rsidR="005E7A17" w:rsidRPr="008073B4" w:rsidTr="005E7A17">
        <w:trPr>
          <w:trHeight w:val="550"/>
        </w:trPr>
        <w:tc>
          <w:tcPr>
            <w:tcW w:w="3489" w:type="dxa"/>
            <w:shd w:val="clear" w:color="auto" w:fill="auto"/>
          </w:tcPr>
          <w:p w:rsidR="005E7A17" w:rsidRPr="008073B4" w:rsidRDefault="005E7A17" w:rsidP="003A186A">
            <w:pPr>
              <w:rPr>
                <w:rFonts w:cs="Arial"/>
                <w:b/>
              </w:rPr>
            </w:pPr>
            <w:r w:rsidRPr="008073B4">
              <w:rPr>
                <w:rFonts w:cs="Arial"/>
                <w:b/>
              </w:rPr>
              <w:t>Immediate actions taken including actions to mitigate any further risk</w:t>
            </w:r>
          </w:p>
          <w:p w:rsidR="005E7A17" w:rsidRPr="008073B4" w:rsidRDefault="005E7A17" w:rsidP="003A186A">
            <w:pPr>
              <w:rPr>
                <w:rFonts w:cs="Arial"/>
                <w:b/>
              </w:rPr>
            </w:pPr>
          </w:p>
        </w:tc>
        <w:tc>
          <w:tcPr>
            <w:tcW w:w="7143" w:type="dxa"/>
            <w:shd w:val="clear" w:color="auto" w:fill="auto"/>
          </w:tcPr>
          <w:p w:rsidR="005E7A17" w:rsidRPr="008073B4" w:rsidRDefault="005E7A17" w:rsidP="003A186A">
            <w:pPr>
              <w:rPr>
                <w:rFonts w:cs="Arial"/>
              </w:rPr>
            </w:pPr>
          </w:p>
        </w:tc>
      </w:tr>
      <w:tr w:rsidR="005E7A17" w:rsidRPr="008073B4" w:rsidTr="005E7A17">
        <w:trPr>
          <w:trHeight w:val="550"/>
        </w:trPr>
        <w:tc>
          <w:tcPr>
            <w:tcW w:w="3489" w:type="dxa"/>
            <w:shd w:val="clear" w:color="auto" w:fill="auto"/>
          </w:tcPr>
          <w:p w:rsidR="005E7A17" w:rsidRPr="008073B4" w:rsidRDefault="005E7A17" w:rsidP="003A186A">
            <w:pPr>
              <w:rPr>
                <w:rFonts w:cs="Arial"/>
                <w:b/>
              </w:rPr>
            </w:pPr>
            <w:r w:rsidRPr="008073B4">
              <w:rPr>
                <w:rFonts w:cs="Arial"/>
                <w:b/>
              </w:rPr>
              <w:t>Details of other organisations/individuals notified</w:t>
            </w:r>
          </w:p>
          <w:p w:rsidR="005E7A17" w:rsidRPr="008073B4" w:rsidRDefault="005E7A17" w:rsidP="003A186A">
            <w:pPr>
              <w:rPr>
                <w:rFonts w:cs="Arial"/>
                <w:b/>
              </w:rPr>
            </w:pPr>
          </w:p>
        </w:tc>
        <w:tc>
          <w:tcPr>
            <w:tcW w:w="7143" w:type="dxa"/>
            <w:shd w:val="clear" w:color="auto" w:fill="auto"/>
          </w:tcPr>
          <w:p w:rsidR="005E7A17" w:rsidRPr="008073B4" w:rsidRDefault="005E7A17" w:rsidP="003A186A">
            <w:pPr>
              <w:rPr>
                <w:rFonts w:cs="Arial"/>
              </w:rPr>
            </w:pPr>
          </w:p>
        </w:tc>
      </w:tr>
      <w:tr w:rsidR="005E7A17" w:rsidRPr="008073B4" w:rsidTr="005E7A17">
        <w:trPr>
          <w:trHeight w:val="550"/>
        </w:trPr>
        <w:tc>
          <w:tcPr>
            <w:tcW w:w="3489" w:type="dxa"/>
            <w:shd w:val="clear" w:color="auto" w:fill="auto"/>
          </w:tcPr>
          <w:p w:rsidR="005E7A17" w:rsidRPr="008073B4" w:rsidRDefault="005E7A17" w:rsidP="003A186A">
            <w:pPr>
              <w:rPr>
                <w:rFonts w:cs="Arial"/>
                <w:b/>
              </w:rPr>
            </w:pPr>
            <w:r w:rsidRPr="008073B4">
              <w:rPr>
                <w:rFonts w:cs="Arial"/>
                <w:b/>
              </w:rPr>
              <w:t>Lead Commissioner</w:t>
            </w:r>
          </w:p>
        </w:tc>
        <w:tc>
          <w:tcPr>
            <w:tcW w:w="7143" w:type="dxa"/>
            <w:shd w:val="clear" w:color="auto" w:fill="auto"/>
          </w:tcPr>
          <w:p w:rsidR="005E7A17" w:rsidRPr="008073B4" w:rsidRDefault="005E7A17" w:rsidP="003A186A">
            <w:pPr>
              <w:rPr>
                <w:rFonts w:cs="Arial"/>
              </w:rPr>
            </w:pPr>
          </w:p>
        </w:tc>
      </w:tr>
      <w:tr w:rsidR="005E7A17" w:rsidRPr="008073B4" w:rsidTr="005E7A17">
        <w:trPr>
          <w:trHeight w:val="550"/>
        </w:trPr>
        <w:tc>
          <w:tcPr>
            <w:tcW w:w="3489" w:type="dxa"/>
            <w:shd w:val="clear" w:color="auto" w:fill="auto"/>
          </w:tcPr>
          <w:p w:rsidR="005E7A17" w:rsidRPr="008073B4" w:rsidRDefault="005E7A17" w:rsidP="003A186A">
            <w:pPr>
              <w:rPr>
                <w:rFonts w:cs="Arial"/>
              </w:rPr>
            </w:pPr>
            <w:r w:rsidRPr="008073B4">
              <w:rPr>
                <w:rFonts w:cs="Arial"/>
                <w:b/>
              </w:rPr>
              <w:t xml:space="preserve">Report completed by </w:t>
            </w:r>
          </w:p>
        </w:tc>
        <w:tc>
          <w:tcPr>
            <w:tcW w:w="7143" w:type="dxa"/>
            <w:shd w:val="clear" w:color="auto" w:fill="auto"/>
          </w:tcPr>
          <w:p w:rsidR="005E7A17" w:rsidRPr="008073B4" w:rsidRDefault="005E7A17" w:rsidP="003A186A">
            <w:pPr>
              <w:rPr>
                <w:rFonts w:cs="Arial"/>
              </w:rPr>
            </w:pPr>
          </w:p>
        </w:tc>
      </w:tr>
      <w:tr w:rsidR="005E7A17" w:rsidRPr="008073B4" w:rsidTr="005E7A17">
        <w:trPr>
          <w:trHeight w:val="550"/>
        </w:trPr>
        <w:tc>
          <w:tcPr>
            <w:tcW w:w="3489" w:type="dxa"/>
            <w:shd w:val="clear" w:color="auto" w:fill="auto"/>
          </w:tcPr>
          <w:p w:rsidR="005E7A17" w:rsidRPr="008073B4" w:rsidRDefault="005E7A17" w:rsidP="003A186A">
            <w:pPr>
              <w:rPr>
                <w:rFonts w:cs="Arial"/>
                <w:b/>
              </w:rPr>
            </w:pPr>
            <w:r w:rsidRPr="008073B4">
              <w:rPr>
                <w:rFonts w:cs="Arial"/>
                <w:b/>
              </w:rPr>
              <w:t xml:space="preserve">Designation  </w:t>
            </w:r>
          </w:p>
        </w:tc>
        <w:tc>
          <w:tcPr>
            <w:tcW w:w="7143" w:type="dxa"/>
            <w:shd w:val="clear" w:color="auto" w:fill="auto"/>
          </w:tcPr>
          <w:p w:rsidR="005E7A17" w:rsidRPr="008073B4" w:rsidRDefault="005E7A17" w:rsidP="003A186A">
            <w:pPr>
              <w:rPr>
                <w:rFonts w:cs="Arial"/>
              </w:rPr>
            </w:pPr>
          </w:p>
        </w:tc>
      </w:tr>
      <w:tr w:rsidR="005E7A17" w:rsidRPr="008073B4" w:rsidTr="005E7A17">
        <w:trPr>
          <w:trHeight w:val="550"/>
        </w:trPr>
        <w:tc>
          <w:tcPr>
            <w:tcW w:w="3489" w:type="dxa"/>
            <w:shd w:val="clear" w:color="auto" w:fill="auto"/>
          </w:tcPr>
          <w:p w:rsidR="005E7A17" w:rsidRPr="008073B4" w:rsidRDefault="005E7A17" w:rsidP="003A186A">
            <w:pPr>
              <w:rPr>
                <w:rFonts w:cs="Arial"/>
              </w:rPr>
            </w:pPr>
            <w:r w:rsidRPr="008073B4">
              <w:rPr>
                <w:rFonts w:cs="Arial"/>
                <w:b/>
              </w:rPr>
              <w:t xml:space="preserve">Date / time report completed  </w:t>
            </w:r>
          </w:p>
          <w:p w:rsidR="005E7A17" w:rsidRPr="008073B4" w:rsidRDefault="005E7A17" w:rsidP="003A186A">
            <w:pPr>
              <w:rPr>
                <w:rFonts w:cs="Arial"/>
                <w:b/>
              </w:rPr>
            </w:pPr>
          </w:p>
        </w:tc>
        <w:tc>
          <w:tcPr>
            <w:tcW w:w="7143" w:type="dxa"/>
            <w:shd w:val="clear" w:color="auto" w:fill="auto"/>
          </w:tcPr>
          <w:p w:rsidR="005E7A17" w:rsidRPr="008073B4" w:rsidRDefault="005E7A17" w:rsidP="003A186A">
            <w:pPr>
              <w:rPr>
                <w:rFonts w:cs="Arial"/>
              </w:rPr>
            </w:pPr>
          </w:p>
        </w:tc>
      </w:tr>
      <w:tr w:rsidR="005E7A17" w:rsidRPr="008073B4" w:rsidTr="003A186A">
        <w:trPr>
          <w:trHeight w:val="550"/>
        </w:trPr>
        <w:tc>
          <w:tcPr>
            <w:tcW w:w="10632" w:type="dxa"/>
            <w:gridSpan w:val="2"/>
            <w:shd w:val="clear" w:color="auto" w:fill="auto"/>
          </w:tcPr>
          <w:p w:rsidR="005E7A17" w:rsidRDefault="005E7A17" w:rsidP="003A186A">
            <w:pPr>
              <w:rPr>
                <w:rFonts w:cs="Arial"/>
              </w:rPr>
            </w:pPr>
            <w:r w:rsidRPr="005E7A17">
              <w:rPr>
                <w:rFonts w:cs="Arial"/>
              </w:rPr>
              <w:t>A brief chronology of key events</w:t>
            </w:r>
            <w:r>
              <w:rPr>
                <w:rFonts w:cs="Arial"/>
              </w:rPr>
              <w:t xml:space="preserve"> (to be inserted) </w:t>
            </w:r>
            <w:r w:rsidRPr="005E7A17">
              <w:rPr>
                <w:rFonts w:cs="Arial"/>
              </w:rPr>
              <w:t xml:space="preserve"> if required</w:t>
            </w:r>
          </w:p>
          <w:p w:rsidR="00AF44E1" w:rsidRPr="008073B4" w:rsidRDefault="00AF44E1" w:rsidP="003A186A">
            <w:pPr>
              <w:rPr>
                <w:rFonts w:cs="Arial"/>
              </w:rPr>
            </w:pPr>
          </w:p>
        </w:tc>
      </w:tr>
    </w:tbl>
    <w:p w:rsidR="005E7A17" w:rsidRPr="005E7A17" w:rsidRDefault="005E7A17" w:rsidP="00617D44">
      <w:pPr>
        <w:ind w:left="-426" w:right="-575"/>
        <w:rPr>
          <w:rFonts w:eastAsiaTheme="majorEastAsia"/>
          <w:b/>
        </w:rPr>
      </w:pPr>
      <w:r>
        <w:rPr>
          <w:rFonts w:asciiTheme="majorHAnsi" w:eastAsiaTheme="majorEastAsia" w:hAnsiTheme="majorHAnsi" w:cstheme="majorBidi"/>
          <w:sz w:val="28"/>
          <w:szCs w:val="28"/>
        </w:rPr>
        <w:br w:type="page"/>
      </w:r>
      <w:r w:rsidRPr="005E7A17">
        <w:rPr>
          <w:b/>
        </w:rPr>
        <w:lastRenderedPageBreak/>
        <w:t>NHS England North Yorkshire and Hu</w:t>
      </w:r>
      <w:r w:rsidR="00617D44">
        <w:rPr>
          <w:b/>
        </w:rPr>
        <w:t xml:space="preserve">mber </w:t>
      </w:r>
      <w:r w:rsidR="000A74CD">
        <w:rPr>
          <w:b/>
        </w:rPr>
        <w:t>Sub-region</w:t>
      </w:r>
      <w:r w:rsidR="00617D44">
        <w:rPr>
          <w:b/>
        </w:rPr>
        <w:t xml:space="preserve"> serious incident </w:t>
      </w:r>
      <w:r w:rsidRPr="005E7A17">
        <w:rPr>
          <w:b/>
        </w:rPr>
        <w:t xml:space="preserve">example reporting form </w:t>
      </w:r>
      <w:r w:rsidRPr="00617D44">
        <w:t>(</w:t>
      </w:r>
      <w:r w:rsidRPr="00617D44">
        <w:rPr>
          <w:rFonts w:eastAsiaTheme="majorEastAsia"/>
        </w:rPr>
        <w:t>incorporates details required within 72 hour template- either template can be used to generate 72 hour report)</w:t>
      </w:r>
    </w:p>
    <w:p w:rsidR="005E7A17" w:rsidRPr="00444BA7" w:rsidRDefault="005E7A17" w:rsidP="00617D44">
      <w:pPr>
        <w:pBdr>
          <w:top w:val="single" w:sz="4" w:space="1" w:color="auto"/>
          <w:left w:val="single" w:sz="4" w:space="20" w:color="auto"/>
          <w:bottom w:val="single" w:sz="4" w:space="1" w:color="auto"/>
          <w:right w:val="single" w:sz="4" w:space="31" w:color="auto"/>
        </w:pBdr>
        <w:shd w:val="clear" w:color="auto" w:fill="D9D9D9" w:themeFill="background1" w:themeFillShade="D9"/>
        <w:jc w:val="center"/>
        <w:rPr>
          <w:b/>
          <w:sz w:val="26"/>
        </w:rPr>
      </w:pPr>
      <w:r>
        <w:rPr>
          <w:b/>
          <w:sz w:val="26"/>
        </w:rPr>
        <w:t xml:space="preserve">This template has been kindly provided by NHS England North Yorkshire and Humber </w:t>
      </w:r>
      <w:r w:rsidR="000A74CD">
        <w:rPr>
          <w:b/>
          <w:sz w:val="26"/>
        </w:rPr>
        <w:t>Sub-region</w:t>
      </w:r>
      <w:r>
        <w:rPr>
          <w:b/>
          <w:sz w:val="26"/>
        </w:rPr>
        <w:t xml:space="preserve"> and may be adapted for local application</w:t>
      </w:r>
    </w:p>
    <w:tbl>
      <w:tblPr>
        <w:tblStyle w:val="TableGrid3"/>
        <w:tblW w:w="10141" w:type="dxa"/>
        <w:tblInd w:w="-318" w:type="dxa"/>
        <w:tblLook w:val="04A0" w:firstRow="1" w:lastRow="0" w:firstColumn="1" w:lastColumn="0" w:noHBand="0" w:noVBand="1"/>
      </w:tblPr>
      <w:tblGrid>
        <w:gridCol w:w="1930"/>
        <w:gridCol w:w="588"/>
        <w:gridCol w:w="1756"/>
        <w:gridCol w:w="937"/>
        <w:gridCol w:w="44"/>
        <w:gridCol w:w="1657"/>
        <w:gridCol w:w="284"/>
        <w:gridCol w:w="149"/>
        <w:gridCol w:w="2796"/>
      </w:tblGrid>
      <w:tr w:rsidR="005E7A17" w:rsidRPr="00444BA7" w:rsidTr="00617D44">
        <w:trPr>
          <w:trHeight w:val="545"/>
        </w:trPr>
        <w:tc>
          <w:tcPr>
            <w:tcW w:w="2518" w:type="dxa"/>
            <w:gridSpan w:val="2"/>
          </w:tcPr>
          <w:p w:rsidR="005E7A17" w:rsidRPr="00444BA7" w:rsidRDefault="005E7A17" w:rsidP="003A186A">
            <w:pPr>
              <w:rPr>
                <w:b/>
                <w:sz w:val="24"/>
                <w:szCs w:val="24"/>
              </w:rPr>
            </w:pPr>
            <w:r w:rsidRPr="00444BA7">
              <w:rPr>
                <w:b/>
                <w:sz w:val="24"/>
                <w:szCs w:val="24"/>
              </w:rPr>
              <w:t>CCG Area</w:t>
            </w:r>
          </w:p>
        </w:tc>
        <w:tc>
          <w:tcPr>
            <w:tcW w:w="7623" w:type="dxa"/>
            <w:gridSpan w:val="7"/>
          </w:tcPr>
          <w:p w:rsidR="005E7A17" w:rsidRPr="00444BA7" w:rsidRDefault="005E7A17" w:rsidP="003A186A">
            <w:pPr>
              <w:tabs>
                <w:tab w:val="center" w:pos="3861"/>
              </w:tabs>
              <w:rPr>
                <w:sz w:val="24"/>
                <w:szCs w:val="24"/>
              </w:rPr>
            </w:pPr>
            <w:r>
              <w:rPr>
                <w:sz w:val="24"/>
                <w:szCs w:val="24"/>
              </w:rPr>
              <w:tab/>
            </w:r>
          </w:p>
        </w:tc>
      </w:tr>
      <w:tr w:rsidR="005E7A17" w:rsidRPr="00444BA7" w:rsidTr="00617D44">
        <w:trPr>
          <w:trHeight w:val="433"/>
        </w:trPr>
        <w:tc>
          <w:tcPr>
            <w:tcW w:w="2518" w:type="dxa"/>
            <w:gridSpan w:val="2"/>
          </w:tcPr>
          <w:p w:rsidR="005E7A17" w:rsidRPr="00444BA7" w:rsidRDefault="005E7A17" w:rsidP="003A186A">
            <w:pPr>
              <w:rPr>
                <w:b/>
                <w:sz w:val="24"/>
                <w:szCs w:val="24"/>
              </w:rPr>
            </w:pPr>
            <w:r w:rsidRPr="00444BA7">
              <w:rPr>
                <w:b/>
                <w:sz w:val="24"/>
                <w:szCs w:val="24"/>
              </w:rPr>
              <w:t>Reporting organisation</w:t>
            </w:r>
          </w:p>
        </w:tc>
        <w:tc>
          <w:tcPr>
            <w:tcW w:w="7623" w:type="dxa"/>
            <w:gridSpan w:val="7"/>
          </w:tcPr>
          <w:p w:rsidR="005E7A17" w:rsidRDefault="005E7A17" w:rsidP="003A186A">
            <w:pPr>
              <w:rPr>
                <w:sz w:val="24"/>
                <w:szCs w:val="24"/>
              </w:rPr>
            </w:pPr>
          </w:p>
          <w:p w:rsidR="005E7A17" w:rsidRPr="00444BA7" w:rsidRDefault="005E7A17" w:rsidP="003A186A">
            <w:pPr>
              <w:rPr>
                <w:sz w:val="24"/>
                <w:szCs w:val="24"/>
              </w:rPr>
            </w:pPr>
          </w:p>
        </w:tc>
      </w:tr>
      <w:tr w:rsidR="005E7A17" w:rsidRPr="00444BA7" w:rsidTr="00617D44">
        <w:trPr>
          <w:trHeight w:val="491"/>
        </w:trPr>
        <w:tc>
          <w:tcPr>
            <w:tcW w:w="10141" w:type="dxa"/>
            <w:gridSpan w:val="9"/>
            <w:shd w:val="clear" w:color="auto" w:fill="D9D9D9" w:themeFill="background1" w:themeFillShade="D9"/>
          </w:tcPr>
          <w:p w:rsidR="005E7A17" w:rsidRPr="00444BA7" w:rsidRDefault="005E7A17" w:rsidP="003A186A">
            <w:pPr>
              <w:rPr>
                <w:sz w:val="32"/>
                <w:szCs w:val="32"/>
              </w:rPr>
            </w:pPr>
            <w:r w:rsidRPr="00444BA7">
              <w:rPr>
                <w:b/>
                <w:sz w:val="32"/>
                <w:szCs w:val="32"/>
              </w:rPr>
              <w:t>Reporter Details</w:t>
            </w:r>
          </w:p>
        </w:tc>
      </w:tr>
      <w:tr w:rsidR="005E7A17" w:rsidRPr="00444BA7" w:rsidTr="00617D44">
        <w:trPr>
          <w:trHeight w:val="742"/>
        </w:trPr>
        <w:tc>
          <w:tcPr>
            <w:tcW w:w="2518" w:type="dxa"/>
            <w:gridSpan w:val="2"/>
          </w:tcPr>
          <w:p w:rsidR="005E7A17" w:rsidRPr="00444BA7" w:rsidRDefault="005E7A17" w:rsidP="003A186A">
            <w:pPr>
              <w:rPr>
                <w:sz w:val="24"/>
                <w:szCs w:val="24"/>
              </w:rPr>
            </w:pPr>
            <w:r w:rsidRPr="00444BA7">
              <w:rPr>
                <w:b/>
                <w:sz w:val="24"/>
                <w:szCs w:val="24"/>
              </w:rPr>
              <w:t>Reporter name</w:t>
            </w:r>
          </w:p>
        </w:tc>
        <w:tc>
          <w:tcPr>
            <w:tcW w:w="2693" w:type="dxa"/>
            <w:gridSpan w:val="2"/>
          </w:tcPr>
          <w:p w:rsidR="005E7A17" w:rsidRPr="00444BA7" w:rsidRDefault="005E7A17" w:rsidP="003A186A">
            <w:pPr>
              <w:rPr>
                <w:sz w:val="24"/>
                <w:szCs w:val="24"/>
              </w:rPr>
            </w:pPr>
          </w:p>
        </w:tc>
        <w:tc>
          <w:tcPr>
            <w:tcW w:w="1985" w:type="dxa"/>
            <w:gridSpan w:val="3"/>
          </w:tcPr>
          <w:p w:rsidR="005E7A17" w:rsidRPr="00444BA7" w:rsidRDefault="005E7A17" w:rsidP="003A186A">
            <w:pPr>
              <w:rPr>
                <w:b/>
                <w:sz w:val="24"/>
                <w:szCs w:val="24"/>
              </w:rPr>
            </w:pPr>
            <w:r w:rsidRPr="00444BA7">
              <w:rPr>
                <w:b/>
                <w:sz w:val="24"/>
                <w:szCs w:val="24"/>
              </w:rPr>
              <w:t>Reporter Job Title</w:t>
            </w:r>
          </w:p>
        </w:tc>
        <w:tc>
          <w:tcPr>
            <w:tcW w:w="2945" w:type="dxa"/>
            <w:gridSpan w:val="2"/>
          </w:tcPr>
          <w:p w:rsidR="005E7A17" w:rsidRPr="00444BA7" w:rsidRDefault="005E7A17" w:rsidP="003A186A">
            <w:pPr>
              <w:rPr>
                <w:sz w:val="24"/>
                <w:szCs w:val="24"/>
              </w:rPr>
            </w:pPr>
          </w:p>
        </w:tc>
      </w:tr>
      <w:tr w:rsidR="005E7A17" w:rsidRPr="00444BA7" w:rsidTr="00617D44">
        <w:trPr>
          <w:trHeight w:val="563"/>
        </w:trPr>
        <w:tc>
          <w:tcPr>
            <w:tcW w:w="2518" w:type="dxa"/>
            <w:gridSpan w:val="2"/>
          </w:tcPr>
          <w:p w:rsidR="005E7A17" w:rsidRPr="00444BA7" w:rsidRDefault="005E7A17" w:rsidP="003A186A">
            <w:pPr>
              <w:rPr>
                <w:b/>
                <w:sz w:val="24"/>
                <w:szCs w:val="24"/>
              </w:rPr>
            </w:pPr>
            <w:r w:rsidRPr="00444BA7">
              <w:rPr>
                <w:b/>
                <w:sz w:val="24"/>
                <w:szCs w:val="24"/>
              </w:rPr>
              <w:t>Reporter Tel. no</w:t>
            </w:r>
          </w:p>
        </w:tc>
        <w:tc>
          <w:tcPr>
            <w:tcW w:w="2693" w:type="dxa"/>
            <w:gridSpan w:val="2"/>
          </w:tcPr>
          <w:p w:rsidR="005E7A17" w:rsidRPr="00444BA7" w:rsidRDefault="005E7A17" w:rsidP="003A186A">
            <w:pPr>
              <w:rPr>
                <w:sz w:val="24"/>
                <w:szCs w:val="24"/>
              </w:rPr>
            </w:pPr>
          </w:p>
        </w:tc>
        <w:tc>
          <w:tcPr>
            <w:tcW w:w="1985" w:type="dxa"/>
            <w:gridSpan w:val="3"/>
          </w:tcPr>
          <w:p w:rsidR="005E7A17" w:rsidRPr="00444BA7" w:rsidRDefault="005E7A17" w:rsidP="003A186A">
            <w:pPr>
              <w:rPr>
                <w:b/>
                <w:sz w:val="24"/>
                <w:szCs w:val="24"/>
              </w:rPr>
            </w:pPr>
            <w:r w:rsidRPr="00444BA7">
              <w:rPr>
                <w:b/>
                <w:sz w:val="24"/>
                <w:szCs w:val="24"/>
              </w:rPr>
              <w:t>Reporter E-mail</w:t>
            </w:r>
          </w:p>
        </w:tc>
        <w:tc>
          <w:tcPr>
            <w:tcW w:w="2945" w:type="dxa"/>
            <w:gridSpan w:val="2"/>
          </w:tcPr>
          <w:p w:rsidR="005E7A17" w:rsidRPr="00444BA7" w:rsidRDefault="005E7A17" w:rsidP="003A186A">
            <w:pPr>
              <w:rPr>
                <w:sz w:val="24"/>
                <w:szCs w:val="24"/>
              </w:rPr>
            </w:pPr>
          </w:p>
        </w:tc>
      </w:tr>
      <w:tr w:rsidR="005E7A17" w:rsidRPr="00444BA7" w:rsidTr="00617D44">
        <w:tc>
          <w:tcPr>
            <w:tcW w:w="10141" w:type="dxa"/>
            <w:gridSpan w:val="9"/>
            <w:shd w:val="clear" w:color="auto" w:fill="D9D9D9" w:themeFill="background1" w:themeFillShade="D9"/>
          </w:tcPr>
          <w:p w:rsidR="005E7A17" w:rsidRPr="00444BA7" w:rsidRDefault="005E7A17" w:rsidP="003A186A">
            <w:pPr>
              <w:rPr>
                <w:sz w:val="24"/>
                <w:szCs w:val="24"/>
              </w:rPr>
            </w:pPr>
            <w:r w:rsidRPr="00444BA7">
              <w:rPr>
                <w:b/>
                <w:sz w:val="32"/>
                <w:szCs w:val="32"/>
              </w:rPr>
              <w:t>Incident Details</w:t>
            </w:r>
          </w:p>
        </w:tc>
      </w:tr>
      <w:tr w:rsidR="005E7A17" w:rsidRPr="00444BA7" w:rsidTr="00617D44">
        <w:trPr>
          <w:trHeight w:val="590"/>
        </w:trPr>
        <w:tc>
          <w:tcPr>
            <w:tcW w:w="2518" w:type="dxa"/>
            <w:gridSpan w:val="2"/>
          </w:tcPr>
          <w:p w:rsidR="005E7A17" w:rsidRPr="00444BA7" w:rsidRDefault="005E7A17" w:rsidP="003A186A">
            <w:pPr>
              <w:rPr>
                <w:b/>
                <w:sz w:val="24"/>
                <w:szCs w:val="24"/>
              </w:rPr>
            </w:pPr>
            <w:r w:rsidRPr="00444BA7">
              <w:rPr>
                <w:b/>
                <w:sz w:val="24"/>
                <w:szCs w:val="24"/>
              </w:rPr>
              <w:t>Date of incident?</w:t>
            </w:r>
            <w:r w:rsidRPr="00444BA7">
              <w:rPr>
                <w:sz w:val="24"/>
                <w:szCs w:val="24"/>
              </w:rPr>
              <w:t xml:space="preserve"> </w:t>
            </w:r>
          </w:p>
        </w:tc>
        <w:tc>
          <w:tcPr>
            <w:tcW w:w="2693" w:type="dxa"/>
            <w:gridSpan w:val="2"/>
          </w:tcPr>
          <w:p w:rsidR="005E7A17" w:rsidRPr="00444BA7" w:rsidRDefault="005E7A17" w:rsidP="003A186A">
            <w:pPr>
              <w:rPr>
                <w:sz w:val="28"/>
                <w:szCs w:val="28"/>
              </w:rPr>
            </w:pPr>
          </w:p>
        </w:tc>
        <w:tc>
          <w:tcPr>
            <w:tcW w:w="1985" w:type="dxa"/>
            <w:gridSpan w:val="3"/>
          </w:tcPr>
          <w:p w:rsidR="005E7A17" w:rsidRPr="00444BA7" w:rsidRDefault="005E7A17" w:rsidP="003A186A">
            <w:pPr>
              <w:rPr>
                <w:b/>
                <w:sz w:val="24"/>
                <w:szCs w:val="24"/>
              </w:rPr>
            </w:pPr>
            <w:r w:rsidRPr="00444BA7">
              <w:rPr>
                <w:b/>
                <w:sz w:val="24"/>
                <w:szCs w:val="24"/>
              </w:rPr>
              <w:t>Date Incident Identified?</w:t>
            </w:r>
            <w:r w:rsidRPr="00444BA7">
              <w:rPr>
                <w:sz w:val="24"/>
                <w:szCs w:val="24"/>
              </w:rPr>
              <w:t xml:space="preserve"> </w:t>
            </w:r>
          </w:p>
        </w:tc>
        <w:tc>
          <w:tcPr>
            <w:tcW w:w="2945" w:type="dxa"/>
            <w:gridSpan w:val="2"/>
          </w:tcPr>
          <w:p w:rsidR="005E7A17" w:rsidRPr="00444BA7" w:rsidRDefault="005E7A17" w:rsidP="003A186A">
            <w:pPr>
              <w:rPr>
                <w:sz w:val="24"/>
                <w:szCs w:val="24"/>
              </w:rPr>
            </w:pPr>
          </w:p>
        </w:tc>
      </w:tr>
      <w:tr w:rsidR="005E7A17" w:rsidRPr="00444BA7" w:rsidTr="00617D44">
        <w:trPr>
          <w:trHeight w:val="693"/>
        </w:trPr>
        <w:tc>
          <w:tcPr>
            <w:tcW w:w="2518" w:type="dxa"/>
            <w:gridSpan w:val="2"/>
          </w:tcPr>
          <w:p w:rsidR="005E7A17" w:rsidRPr="00444BA7" w:rsidRDefault="005E7A17" w:rsidP="003A186A">
            <w:pPr>
              <w:rPr>
                <w:b/>
                <w:sz w:val="24"/>
                <w:szCs w:val="24"/>
              </w:rPr>
            </w:pPr>
            <w:r w:rsidRPr="00444BA7">
              <w:rPr>
                <w:b/>
                <w:sz w:val="24"/>
                <w:szCs w:val="24"/>
              </w:rPr>
              <w:t>Incident Site? (if other than reporting org)</w:t>
            </w:r>
          </w:p>
        </w:tc>
        <w:tc>
          <w:tcPr>
            <w:tcW w:w="2693" w:type="dxa"/>
            <w:gridSpan w:val="2"/>
          </w:tcPr>
          <w:p w:rsidR="005E7A17" w:rsidRPr="00444BA7" w:rsidRDefault="005E7A17" w:rsidP="003A186A">
            <w:pPr>
              <w:rPr>
                <w:sz w:val="28"/>
                <w:szCs w:val="28"/>
              </w:rPr>
            </w:pPr>
          </w:p>
        </w:tc>
        <w:tc>
          <w:tcPr>
            <w:tcW w:w="1985" w:type="dxa"/>
            <w:gridSpan w:val="3"/>
          </w:tcPr>
          <w:p w:rsidR="005E7A17" w:rsidRPr="00444BA7" w:rsidRDefault="005E7A17" w:rsidP="003A186A">
            <w:pPr>
              <w:rPr>
                <w:b/>
                <w:sz w:val="24"/>
                <w:szCs w:val="24"/>
              </w:rPr>
            </w:pPr>
            <w:r w:rsidRPr="00444BA7">
              <w:rPr>
                <w:b/>
                <w:sz w:val="24"/>
                <w:szCs w:val="24"/>
              </w:rPr>
              <w:t>Incident Location?</w:t>
            </w:r>
          </w:p>
        </w:tc>
        <w:sdt>
          <w:sdtPr>
            <w:id w:val="-1091315157"/>
            <w:dropDownList>
              <w:listItem w:displayText="Accident &amp; Emergency" w:value="Accident &amp; Emergency"/>
              <w:listItem w:displayText="Admin offices" w:value="Admin offices"/>
              <w:listItem w:displayText="Anaesthetic Department" w:value="Anaesthetic Department"/>
              <w:listItem w:displayText="Antenatal Clinic" w:value="Antenatal Clinic"/>
              <w:listItem w:displayText="Day Centre" w:value="Day Centre"/>
              <w:listItem w:displayText="Day Hospital" w:value="Day Hospital"/>
              <w:listItem w:displayText="Daycase Theatre" w:value="Daycase Theatre"/>
              <w:listItem w:displayText="Dental Surgery" w:value="Dental Surgery"/>
              <w:listItem w:displayText="Education" w:value="Education"/>
              <w:listItem w:displayText="GP - Out of Hours" w:value="GP - Out of Hours"/>
              <w:listItem w:displayText="GP - Surgery" w:value="GP - Surgery"/>
              <w:listItem w:displayText="Health Centre/Clinic" w:value="Health Centre/Clinic"/>
              <w:listItem w:displayText="Hospice" w:value="Hospice"/>
              <w:listItem w:displayText="Hospital Bathroom" w:value="Hospital Bathroom"/>
              <w:listItem w:displayText="HGospital Grounds" w:value="HGospital Grounds"/>
              <w:listItem w:displayText="Hospital Lounge" w:value="Hospital Lounge"/>
              <w:listItem w:displayText="in Transit" w:value="in Transit"/>
              <w:listItem w:displayText="intensive Care/High Dependancy Unit" w:value="intensive Care/High Dependancy Unit"/>
              <w:listItem w:displayText="Laboratory" w:value="Laboratory"/>
              <w:listItem w:displayText="Labour Ward &amp; Delivery" w:value="Labour Ward &amp; Delivery"/>
              <w:listItem w:displayText="Medical Records" w:value="Medical Records"/>
              <w:listItem w:displayText="Mortuary" w:value="Mortuary"/>
              <w:listItem w:displayText="Noe Natal Intensive Care unit" w:value="Noe Natal Intensive Care unit"/>
              <w:listItem w:displayText="NHS Direct" w:value="NHS Direct"/>
              <w:listItem w:displayText="Operating Theatre" w:value="Operating Theatre"/>
              <w:listItem w:displayText="Other" w:value="Other"/>
              <w:listItem w:displayText="Outpatient Department" w:value="Outpatient Department"/>
              <w:listItem w:displayText="Outside Building" w:value="Outside Building"/>
              <w:listItem w:displayText="Paramedic Department" w:value="Paramedic Department"/>
              <w:listItem w:displayText="Patients home" w:value="Patients home"/>
              <w:listItem w:displayText="Pharmacy" w:value="Pharmacy"/>
              <w:listItem w:displayText="Prison Setting" w:value="Prison Setting"/>
              <w:listItem w:displayText="Prison/Remand" w:value="Prison/Remand"/>
              <w:listItem w:displayText="Public Place / Street" w:value="Public Place / Street"/>
              <w:listItem w:displayText="Radiology Department" w:value="Radiology Department"/>
              <w:listItem w:displayText="Recovery Room" w:value="Recovery Room"/>
              <w:listItem w:displayText="Residential Care/NHS Nursing Home" w:value="Residential Care/NHS Nursing Home"/>
              <w:listItem w:displayText="School Premises" w:value="School Premises"/>
              <w:listItem w:displayText="Street/Main Corridor" w:value="Street/Main Corridor"/>
              <w:listItem w:displayText="Ward Areas" w:value="Ward Areas"/>
              <w:listItem w:displayText="111" w:value="111"/>
              <w:listItem w:displayText="Click to select Location" w:value="Click to select Location"/>
            </w:dropDownList>
          </w:sdtPr>
          <w:sdtEndPr/>
          <w:sdtContent>
            <w:tc>
              <w:tcPr>
                <w:tcW w:w="2945" w:type="dxa"/>
                <w:gridSpan w:val="2"/>
              </w:tcPr>
              <w:p w:rsidR="005E7A17" w:rsidRPr="00444BA7" w:rsidRDefault="005E7A17" w:rsidP="003A186A">
                <w:pPr>
                  <w:rPr>
                    <w:sz w:val="28"/>
                    <w:szCs w:val="28"/>
                  </w:rPr>
                </w:pPr>
                <w:r w:rsidRPr="00444BA7">
                  <w:t>Click to select Location</w:t>
                </w:r>
              </w:p>
            </w:tc>
          </w:sdtContent>
        </w:sdt>
      </w:tr>
      <w:tr w:rsidR="005E7A17" w:rsidRPr="00444BA7" w:rsidTr="00617D44">
        <w:trPr>
          <w:trHeight w:val="381"/>
        </w:trPr>
        <w:tc>
          <w:tcPr>
            <w:tcW w:w="10141" w:type="dxa"/>
            <w:gridSpan w:val="9"/>
            <w:shd w:val="clear" w:color="auto" w:fill="D9D9D9" w:themeFill="background1" w:themeFillShade="D9"/>
          </w:tcPr>
          <w:p w:rsidR="005E7A17" w:rsidRPr="00444BA7" w:rsidRDefault="005E7A17" w:rsidP="003A186A">
            <w:pPr>
              <w:rPr>
                <w:color w:val="FFFFFF" w:themeColor="background1"/>
                <w:sz w:val="32"/>
                <w:szCs w:val="32"/>
              </w:rPr>
            </w:pPr>
            <w:r w:rsidRPr="00444BA7">
              <w:rPr>
                <w:b/>
                <w:color w:val="000000" w:themeColor="text1"/>
                <w:sz w:val="32"/>
                <w:szCs w:val="32"/>
              </w:rPr>
              <w:t>Who Was Involved</w:t>
            </w:r>
          </w:p>
        </w:tc>
      </w:tr>
      <w:tr w:rsidR="005E7A17" w:rsidRPr="00444BA7" w:rsidTr="00617D44">
        <w:tc>
          <w:tcPr>
            <w:tcW w:w="2518" w:type="dxa"/>
            <w:gridSpan w:val="2"/>
          </w:tcPr>
          <w:p w:rsidR="005E7A17" w:rsidRPr="00444BA7" w:rsidRDefault="005E7A17" w:rsidP="003A186A">
            <w:pPr>
              <w:rPr>
                <w:b/>
                <w:sz w:val="24"/>
                <w:szCs w:val="24"/>
              </w:rPr>
            </w:pPr>
            <w:r w:rsidRPr="00444BA7">
              <w:rPr>
                <w:b/>
                <w:sz w:val="24"/>
                <w:szCs w:val="24"/>
              </w:rPr>
              <w:t>Type of Patient?</w:t>
            </w:r>
          </w:p>
        </w:tc>
        <w:tc>
          <w:tcPr>
            <w:tcW w:w="7623" w:type="dxa"/>
            <w:gridSpan w:val="7"/>
          </w:tcPr>
          <w:p w:rsidR="005E7A17" w:rsidRDefault="0072371B" w:rsidP="003A186A">
            <w:pPr>
              <w:tabs>
                <w:tab w:val="left" w:pos="3090"/>
              </w:tabs>
              <w:rPr>
                <w:sz w:val="24"/>
                <w:szCs w:val="24"/>
              </w:rPr>
            </w:pPr>
            <w:sdt>
              <w:sdtPr>
                <w:rPr>
                  <w:szCs w:val="24"/>
                </w:rPr>
                <w:id w:val="1968236290"/>
                <w:dropDownList>
                  <w:listItem w:displayText="click to Select Type" w:value="click to Select Type"/>
                  <w:listItem w:displayText="A &amp; E Patient" w:value="A &amp; E Patient"/>
                  <w:listItem w:displayText="Ambulance Patient" w:value="Ambulance Patient"/>
                  <w:listItem w:displayText="Community Patient" w:value="Community Patient"/>
                  <w:listItem w:displayText="Day Patient" w:value="Day Patient"/>
                  <w:listItem w:displayText="GP Patient" w:value="GP Patient"/>
                  <w:listItem w:displayText="Home Patient" w:value="Home Patient"/>
                  <w:listItem w:displayText="Residential Care Patient/Client" w:value="Residential Care Patient/Client"/>
                  <w:listItem w:displayText="Out Patient" w:value="Out Patient"/>
                  <w:listItem w:displayText="In Patient Planned" w:value="In Patient Planned"/>
                  <w:listItem w:displayText="In Patient Unplanned" w:value="In Patient Unplanned"/>
                  <w:listItem w:displayText="None" w:value="None"/>
                </w:dropDownList>
              </w:sdtPr>
              <w:sdtEndPr/>
              <w:sdtContent>
                <w:r w:rsidR="005E7A17" w:rsidRPr="00444BA7">
                  <w:rPr>
                    <w:sz w:val="24"/>
                    <w:szCs w:val="24"/>
                  </w:rPr>
                  <w:t>click to Select Type</w:t>
                </w:r>
              </w:sdtContent>
            </w:sdt>
            <w:r w:rsidR="005E7A17">
              <w:rPr>
                <w:sz w:val="24"/>
                <w:szCs w:val="24"/>
              </w:rPr>
              <w:tab/>
            </w:r>
          </w:p>
          <w:p w:rsidR="005E7A17" w:rsidRPr="00444BA7" w:rsidRDefault="005E7A17" w:rsidP="003A186A">
            <w:pPr>
              <w:tabs>
                <w:tab w:val="left" w:pos="3090"/>
              </w:tabs>
              <w:rPr>
                <w:sz w:val="28"/>
                <w:szCs w:val="28"/>
              </w:rPr>
            </w:pPr>
          </w:p>
        </w:tc>
      </w:tr>
      <w:tr w:rsidR="005E7A17" w:rsidRPr="00444BA7" w:rsidTr="00617D44">
        <w:tc>
          <w:tcPr>
            <w:tcW w:w="2518" w:type="dxa"/>
            <w:gridSpan w:val="2"/>
          </w:tcPr>
          <w:p w:rsidR="005E7A17" w:rsidRPr="00444BA7" w:rsidRDefault="005E7A17" w:rsidP="003A186A">
            <w:pPr>
              <w:rPr>
                <w:b/>
                <w:sz w:val="24"/>
                <w:szCs w:val="24"/>
              </w:rPr>
            </w:pPr>
            <w:r w:rsidRPr="00444BA7">
              <w:rPr>
                <w:b/>
                <w:sz w:val="24"/>
                <w:szCs w:val="24"/>
              </w:rPr>
              <w:t>GP Practice?</w:t>
            </w:r>
          </w:p>
        </w:tc>
        <w:tc>
          <w:tcPr>
            <w:tcW w:w="7623" w:type="dxa"/>
            <w:gridSpan w:val="7"/>
          </w:tcPr>
          <w:p w:rsidR="005E7A17" w:rsidRPr="00444BA7" w:rsidRDefault="005E7A17" w:rsidP="003A186A">
            <w:pPr>
              <w:rPr>
                <w:sz w:val="24"/>
                <w:szCs w:val="24"/>
              </w:rPr>
            </w:pPr>
          </w:p>
        </w:tc>
      </w:tr>
      <w:tr w:rsidR="005E7A17" w:rsidRPr="00444BA7" w:rsidTr="00617D44">
        <w:tc>
          <w:tcPr>
            <w:tcW w:w="2518" w:type="dxa"/>
            <w:gridSpan w:val="2"/>
          </w:tcPr>
          <w:p w:rsidR="005E7A17" w:rsidRPr="00444BA7" w:rsidRDefault="005E7A17" w:rsidP="003A186A">
            <w:pPr>
              <w:rPr>
                <w:b/>
                <w:sz w:val="24"/>
                <w:szCs w:val="24"/>
              </w:rPr>
            </w:pPr>
            <w:r w:rsidRPr="00444BA7">
              <w:rPr>
                <w:b/>
                <w:sz w:val="24"/>
                <w:szCs w:val="24"/>
              </w:rPr>
              <w:t>Gender?</w:t>
            </w:r>
          </w:p>
        </w:tc>
        <w:tc>
          <w:tcPr>
            <w:tcW w:w="7623" w:type="dxa"/>
            <w:gridSpan w:val="7"/>
          </w:tcPr>
          <w:p w:rsidR="005E7A17" w:rsidRDefault="005E7A17" w:rsidP="003A186A">
            <w:pPr>
              <w:tabs>
                <w:tab w:val="left" w:pos="1695"/>
              </w:tabs>
              <w:rPr>
                <w:sz w:val="24"/>
                <w:szCs w:val="24"/>
              </w:rPr>
            </w:pPr>
            <w:r w:rsidRPr="00444BA7">
              <w:rPr>
                <w:b/>
                <w:noProof/>
                <w:szCs w:val="24"/>
                <w:lang w:eastAsia="en-GB"/>
              </w:rPr>
              <mc:AlternateContent>
                <mc:Choice Requires="wps">
                  <w:drawing>
                    <wp:anchor distT="0" distB="0" distL="114300" distR="114300" simplePos="0" relativeHeight="251688448" behindDoc="0" locked="0" layoutInCell="1" allowOverlap="1" wp14:anchorId="09FE9391" wp14:editId="066FCB44">
                      <wp:simplePos x="0" y="0"/>
                      <wp:positionH relativeFrom="column">
                        <wp:posOffset>1647825</wp:posOffset>
                      </wp:positionH>
                      <wp:positionV relativeFrom="paragraph">
                        <wp:posOffset>48260</wp:posOffset>
                      </wp:positionV>
                      <wp:extent cx="238125" cy="180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83" type="#_x0000_t202" style="position:absolute;margin-left:129.75pt;margin-top:3.8pt;width:18.75pt;height:14.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" fillcolor="window" strokeweight=".5pt">
                      <v:textbox>
                        <w:txbxContent>
                          <w:p w:rsidR="0098525C" w:rsidRDefault="0098525C" w:rsidP="005E7A17"/>
                        </w:txbxContent>
                      </v:textbox>
                    </v:shape>
                  </w:pict>
                </mc:Fallback>
              </mc:AlternateContent>
            </w:r>
            <w:r w:rsidRPr="00444BA7">
              <w:rPr>
                <w:b/>
                <w:noProof/>
                <w:szCs w:val="24"/>
                <w:lang w:eastAsia="en-GB"/>
              </w:rPr>
              <mc:AlternateContent>
                <mc:Choice Requires="wps">
                  <w:drawing>
                    <wp:anchor distT="0" distB="0" distL="114300" distR="114300" simplePos="0" relativeHeight="251687424" behindDoc="0" locked="0" layoutInCell="1" allowOverlap="1" wp14:anchorId="09D59BEA" wp14:editId="62CB19ED">
                      <wp:simplePos x="0" y="0"/>
                      <wp:positionH relativeFrom="column">
                        <wp:posOffset>429259</wp:posOffset>
                      </wp:positionH>
                      <wp:positionV relativeFrom="paragraph">
                        <wp:posOffset>48260</wp:posOffset>
                      </wp:positionV>
                      <wp:extent cx="238125" cy="1809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84" type="#_x0000_t202" style="position:absolute;margin-left:33.8pt;margin-top:3.8pt;width:18.75pt;height:1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" fillcolor="window" strokeweight=".5pt">
                      <v:textbox>
                        <w:txbxContent>
                          <w:p w:rsidR="0098525C" w:rsidRDefault="0098525C" w:rsidP="005E7A17"/>
                        </w:txbxContent>
                      </v:textbox>
                    </v:shape>
                  </w:pict>
                </mc:Fallback>
              </mc:AlternateContent>
            </w:r>
            <w:r w:rsidRPr="00444BA7">
              <w:rPr>
                <w:b/>
                <w:sz w:val="24"/>
                <w:szCs w:val="24"/>
              </w:rPr>
              <w:t>Male</w:t>
            </w:r>
            <w:r w:rsidRPr="00444BA7">
              <w:rPr>
                <w:sz w:val="24"/>
                <w:szCs w:val="24"/>
              </w:rPr>
              <w:t xml:space="preserve">  </w:t>
            </w:r>
            <w:r w:rsidRPr="00444BA7">
              <w:rPr>
                <w:sz w:val="24"/>
                <w:szCs w:val="24"/>
              </w:rPr>
              <w:tab/>
            </w:r>
            <w:r w:rsidRPr="00444BA7">
              <w:rPr>
                <w:b/>
                <w:sz w:val="24"/>
                <w:szCs w:val="24"/>
              </w:rPr>
              <w:t xml:space="preserve">Female </w:t>
            </w:r>
            <w:r w:rsidRPr="00444BA7">
              <w:rPr>
                <w:sz w:val="24"/>
                <w:szCs w:val="24"/>
              </w:rPr>
              <w:t xml:space="preserve"> </w:t>
            </w:r>
          </w:p>
          <w:p w:rsidR="005E7A17" w:rsidRPr="00444BA7" w:rsidRDefault="005E7A17" w:rsidP="003A186A">
            <w:pPr>
              <w:tabs>
                <w:tab w:val="left" w:pos="1695"/>
              </w:tabs>
              <w:rPr>
                <w:sz w:val="24"/>
                <w:szCs w:val="24"/>
              </w:rPr>
            </w:pPr>
          </w:p>
        </w:tc>
      </w:tr>
      <w:tr w:rsidR="005E7A17" w:rsidRPr="00444BA7" w:rsidTr="00617D44">
        <w:trPr>
          <w:trHeight w:val="669"/>
        </w:trPr>
        <w:tc>
          <w:tcPr>
            <w:tcW w:w="2518" w:type="dxa"/>
            <w:gridSpan w:val="2"/>
          </w:tcPr>
          <w:p w:rsidR="005E7A17" w:rsidRPr="00444BA7" w:rsidRDefault="005E7A17" w:rsidP="003A186A">
            <w:pPr>
              <w:rPr>
                <w:sz w:val="24"/>
                <w:szCs w:val="24"/>
              </w:rPr>
            </w:pPr>
            <w:r w:rsidRPr="00444BA7">
              <w:rPr>
                <w:b/>
                <w:sz w:val="24"/>
                <w:szCs w:val="24"/>
              </w:rPr>
              <w:t>Date Of Birth?</w:t>
            </w:r>
            <w:r w:rsidRPr="00444BA7">
              <w:rPr>
                <w:sz w:val="24"/>
                <w:szCs w:val="24"/>
              </w:rPr>
              <w:t xml:space="preserve"> (dd/mm/yyyy or N/A)</w:t>
            </w:r>
          </w:p>
        </w:tc>
        <w:tc>
          <w:tcPr>
            <w:tcW w:w="7623" w:type="dxa"/>
            <w:gridSpan w:val="7"/>
          </w:tcPr>
          <w:p w:rsidR="005E7A17" w:rsidRDefault="005E7A17" w:rsidP="003A186A">
            <w:pPr>
              <w:tabs>
                <w:tab w:val="left" w:pos="1695"/>
              </w:tabs>
              <w:rPr>
                <w:noProof/>
                <w:sz w:val="24"/>
                <w:szCs w:val="24"/>
              </w:rPr>
            </w:pPr>
          </w:p>
          <w:p w:rsidR="005E7A17" w:rsidRDefault="005E7A17" w:rsidP="003A186A">
            <w:pPr>
              <w:tabs>
                <w:tab w:val="left" w:pos="1695"/>
              </w:tabs>
              <w:rPr>
                <w:noProof/>
                <w:sz w:val="24"/>
                <w:szCs w:val="24"/>
              </w:rPr>
            </w:pPr>
          </w:p>
          <w:p w:rsidR="005E7A17" w:rsidRPr="00444BA7" w:rsidRDefault="005E7A17" w:rsidP="003A186A">
            <w:pPr>
              <w:tabs>
                <w:tab w:val="left" w:pos="1695"/>
              </w:tabs>
              <w:rPr>
                <w:noProof/>
                <w:sz w:val="24"/>
                <w:szCs w:val="24"/>
              </w:rPr>
            </w:pPr>
          </w:p>
        </w:tc>
      </w:tr>
      <w:tr w:rsidR="005E7A17" w:rsidRPr="00444BA7" w:rsidTr="00617D44">
        <w:trPr>
          <w:trHeight w:val="404"/>
        </w:trPr>
        <w:tc>
          <w:tcPr>
            <w:tcW w:w="2518" w:type="dxa"/>
            <w:gridSpan w:val="2"/>
          </w:tcPr>
          <w:p w:rsidR="005E7A17" w:rsidRPr="00444BA7" w:rsidRDefault="005E7A17" w:rsidP="003A186A">
            <w:pPr>
              <w:rPr>
                <w:b/>
                <w:sz w:val="24"/>
                <w:szCs w:val="24"/>
              </w:rPr>
            </w:pPr>
            <w:r w:rsidRPr="00444BA7">
              <w:rPr>
                <w:b/>
                <w:sz w:val="24"/>
                <w:szCs w:val="24"/>
              </w:rPr>
              <w:t>Ethnic Group?</w:t>
            </w:r>
          </w:p>
        </w:tc>
        <w:tc>
          <w:tcPr>
            <w:tcW w:w="7623" w:type="dxa"/>
            <w:gridSpan w:val="7"/>
          </w:tcPr>
          <w:p w:rsidR="005E7A17" w:rsidRPr="00444BA7" w:rsidRDefault="005E7A17" w:rsidP="003A186A">
            <w:pPr>
              <w:tabs>
                <w:tab w:val="left" w:pos="1695"/>
              </w:tabs>
              <w:rPr>
                <w:noProof/>
                <w:sz w:val="24"/>
                <w:szCs w:val="24"/>
              </w:rPr>
            </w:pPr>
          </w:p>
        </w:tc>
      </w:tr>
      <w:tr w:rsidR="005E7A17" w:rsidRPr="00444BA7" w:rsidTr="00617D44">
        <w:trPr>
          <w:trHeight w:val="529"/>
        </w:trPr>
        <w:tc>
          <w:tcPr>
            <w:tcW w:w="2518" w:type="dxa"/>
            <w:gridSpan w:val="2"/>
          </w:tcPr>
          <w:p w:rsidR="005E7A17" w:rsidRPr="00444BA7" w:rsidRDefault="005E7A17" w:rsidP="003A186A">
            <w:pPr>
              <w:rPr>
                <w:b/>
                <w:sz w:val="24"/>
                <w:szCs w:val="24"/>
              </w:rPr>
            </w:pPr>
            <w:r w:rsidRPr="00444BA7">
              <w:rPr>
                <w:b/>
                <w:sz w:val="24"/>
                <w:szCs w:val="24"/>
              </w:rPr>
              <w:t>Persons Notified?</w:t>
            </w:r>
          </w:p>
        </w:tc>
        <w:tc>
          <w:tcPr>
            <w:tcW w:w="7623" w:type="dxa"/>
            <w:gridSpan w:val="7"/>
          </w:tcPr>
          <w:p w:rsidR="005E7A17" w:rsidRPr="00444BA7" w:rsidRDefault="005E7A17" w:rsidP="003A186A">
            <w:pPr>
              <w:tabs>
                <w:tab w:val="left" w:pos="1500"/>
                <w:tab w:val="left" w:pos="2955"/>
              </w:tabs>
              <w:rPr>
                <w:noProof/>
                <w:sz w:val="24"/>
                <w:szCs w:val="24"/>
              </w:rPr>
            </w:pPr>
            <w:r w:rsidRPr="00444BA7">
              <w:rPr>
                <w:b/>
                <w:noProof/>
                <w:szCs w:val="24"/>
                <w:lang w:eastAsia="en-GB"/>
              </w:rPr>
              <mc:AlternateContent>
                <mc:Choice Requires="wps">
                  <w:drawing>
                    <wp:anchor distT="0" distB="0" distL="114300" distR="114300" simplePos="0" relativeHeight="251689472" behindDoc="0" locked="0" layoutInCell="1" allowOverlap="1" wp14:anchorId="24AE8299" wp14:editId="55D4F7D4">
                      <wp:simplePos x="0" y="0"/>
                      <wp:positionH relativeFrom="column">
                        <wp:posOffset>2390775</wp:posOffset>
                      </wp:positionH>
                      <wp:positionV relativeFrom="paragraph">
                        <wp:posOffset>19685</wp:posOffset>
                      </wp:positionV>
                      <wp:extent cx="238125" cy="1809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85" type="#_x0000_t202" style="position:absolute;margin-left:188.25pt;margin-top:1.55pt;width:18.75pt;height:14.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" fillcolor="window" strokeweight=".5pt">
                      <v:textbox>
                        <w:txbxContent>
                          <w:p w:rsidR="0098525C" w:rsidRDefault="0098525C" w:rsidP="005E7A17"/>
                        </w:txbxContent>
                      </v:textbox>
                    </v:shape>
                  </w:pict>
                </mc:Fallback>
              </mc:AlternateContent>
            </w:r>
            <w:r w:rsidRPr="00444BA7">
              <w:rPr>
                <w:b/>
                <w:noProof/>
                <w:szCs w:val="24"/>
                <w:lang w:eastAsia="en-GB"/>
              </w:rPr>
              <mc:AlternateContent>
                <mc:Choice Requires="wps">
                  <w:drawing>
                    <wp:anchor distT="0" distB="0" distL="114300" distR="114300" simplePos="0" relativeHeight="251690496" behindDoc="0" locked="0" layoutInCell="1" allowOverlap="1" wp14:anchorId="66346E75" wp14:editId="047E74AB">
                      <wp:simplePos x="0" y="0"/>
                      <wp:positionH relativeFrom="column">
                        <wp:posOffset>1504950</wp:posOffset>
                      </wp:positionH>
                      <wp:positionV relativeFrom="paragraph">
                        <wp:posOffset>19685</wp:posOffset>
                      </wp:positionV>
                      <wp:extent cx="238125" cy="1809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86" type="#_x0000_t202" style="position:absolute;margin-left:118.5pt;margin-top:1.55pt;width:18.75pt;height:1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" fillcolor="window" strokeweight=".5pt">
                      <v:textbox>
                        <w:txbxContent>
                          <w:p w:rsidR="0098525C" w:rsidRDefault="0098525C" w:rsidP="005E7A17"/>
                        </w:txbxContent>
                      </v:textbox>
                    </v:shape>
                  </w:pict>
                </mc:Fallback>
              </mc:AlternateContent>
            </w:r>
            <w:r w:rsidRPr="00444BA7">
              <w:rPr>
                <w:b/>
                <w:noProof/>
                <w:szCs w:val="24"/>
                <w:lang w:eastAsia="en-GB"/>
              </w:rPr>
              <mc:AlternateContent>
                <mc:Choice Requires="wps">
                  <w:drawing>
                    <wp:anchor distT="0" distB="0" distL="114300" distR="114300" simplePos="0" relativeHeight="251691520" behindDoc="0" locked="0" layoutInCell="1" allowOverlap="1" wp14:anchorId="024E88C2" wp14:editId="19E13CA4">
                      <wp:simplePos x="0" y="0"/>
                      <wp:positionH relativeFrom="column">
                        <wp:posOffset>561975</wp:posOffset>
                      </wp:positionH>
                      <wp:positionV relativeFrom="paragraph">
                        <wp:posOffset>29210</wp:posOffset>
                      </wp:positionV>
                      <wp:extent cx="238125" cy="1809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87" type="#_x0000_t202" style="position:absolute;margin-left:44.25pt;margin-top:2.3pt;width:18.75pt;height:14.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" fillcolor="window" strokeweight=".5pt">
                      <v:textbox>
                        <w:txbxContent>
                          <w:p w:rsidR="0098525C" w:rsidRDefault="0098525C" w:rsidP="005E7A17"/>
                        </w:txbxContent>
                      </v:textbox>
                    </v:shape>
                  </w:pict>
                </mc:Fallback>
              </mc:AlternateContent>
            </w:r>
            <w:r w:rsidRPr="00444BA7">
              <w:rPr>
                <w:b/>
                <w:noProof/>
                <w:sz w:val="24"/>
                <w:szCs w:val="24"/>
              </w:rPr>
              <w:t xml:space="preserve">Patient </w:t>
            </w:r>
            <w:r w:rsidRPr="00444BA7">
              <w:rPr>
                <w:noProof/>
                <w:sz w:val="24"/>
                <w:szCs w:val="24"/>
              </w:rPr>
              <w:tab/>
            </w:r>
            <w:r w:rsidRPr="00444BA7">
              <w:rPr>
                <w:b/>
                <w:noProof/>
                <w:sz w:val="24"/>
                <w:szCs w:val="24"/>
              </w:rPr>
              <w:t xml:space="preserve">Family </w:t>
            </w:r>
            <w:r w:rsidRPr="00444BA7">
              <w:rPr>
                <w:noProof/>
                <w:sz w:val="24"/>
                <w:szCs w:val="24"/>
              </w:rPr>
              <w:tab/>
            </w:r>
            <w:r w:rsidRPr="00444BA7">
              <w:rPr>
                <w:b/>
                <w:noProof/>
                <w:sz w:val="24"/>
                <w:szCs w:val="24"/>
              </w:rPr>
              <w:t>Carer</w:t>
            </w:r>
          </w:p>
        </w:tc>
      </w:tr>
      <w:tr w:rsidR="005E7A17" w:rsidRPr="00444BA7" w:rsidTr="00617D44">
        <w:trPr>
          <w:trHeight w:val="529"/>
        </w:trPr>
        <w:tc>
          <w:tcPr>
            <w:tcW w:w="2518" w:type="dxa"/>
            <w:gridSpan w:val="2"/>
          </w:tcPr>
          <w:p w:rsidR="005E7A17" w:rsidRPr="00444BA7" w:rsidRDefault="005E7A17" w:rsidP="003A186A">
            <w:pPr>
              <w:rPr>
                <w:b/>
                <w:sz w:val="24"/>
                <w:szCs w:val="24"/>
              </w:rPr>
            </w:pPr>
            <w:r w:rsidRPr="00444BA7">
              <w:rPr>
                <w:b/>
                <w:sz w:val="24"/>
                <w:szCs w:val="24"/>
              </w:rPr>
              <w:t>Degree of Harm</w:t>
            </w:r>
          </w:p>
        </w:tc>
        <w:tc>
          <w:tcPr>
            <w:tcW w:w="7623" w:type="dxa"/>
            <w:gridSpan w:val="7"/>
          </w:tcPr>
          <w:p w:rsidR="005E7A17" w:rsidRPr="00444BA7" w:rsidRDefault="005E7A17" w:rsidP="003A186A">
            <w:pPr>
              <w:tabs>
                <w:tab w:val="left" w:pos="1170"/>
                <w:tab w:val="left" w:pos="2325"/>
                <w:tab w:val="left" w:pos="3975"/>
                <w:tab w:val="left" w:pos="5325"/>
              </w:tabs>
              <w:rPr>
                <w:b/>
                <w:sz w:val="24"/>
                <w:szCs w:val="24"/>
              </w:rPr>
            </w:pPr>
            <w:r w:rsidRPr="00444BA7">
              <w:rPr>
                <w:b/>
                <w:noProof/>
                <w:szCs w:val="24"/>
                <w:lang w:eastAsia="en-GB"/>
              </w:rPr>
              <mc:AlternateContent>
                <mc:Choice Requires="wps">
                  <w:drawing>
                    <wp:anchor distT="0" distB="0" distL="114300" distR="114300" simplePos="0" relativeHeight="251700736" behindDoc="0" locked="0" layoutInCell="1" allowOverlap="1" wp14:anchorId="70E021F7" wp14:editId="6183EF06">
                      <wp:simplePos x="0" y="0"/>
                      <wp:positionH relativeFrom="column">
                        <wp:posOffset>422275</wp:posOffset>
                      </wp:positionH>
                      <wp:positionV relativeFrom="paragraph">
                        <wp:posOffset>62230</wp:posOffset>
                      </wp:positionV>
                      <wp:extent cx="238125" cy="1809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98525C" w:rsidRDefault="0098525C" w:rsidP="005E7A17"/>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88" type="#_x0000_t202" style="position:absolute;margin-left:33.25pt;margin-top:4.9pt;width:18.75pt;height:14.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" fillcolor="window" strokeweight=".5pt">
                      <v:textbox>
                        <w:txbxContent>
                          <w:p w:rsidR="0098525C" w:rsidRDefault="0098525C" w:rsidP="005E7A17"/>
                          <w:p w:rsidR="0098525C" w:rsidRDefault="0098525C" w:rsidP="005E7A17"/>
                        </w:txbxContent>
                      </v:textbox>
                    </v:shape>
                  </w:pict>
                </mc:Fallback>
              </mc:AlternateContent>
            </w:r>
            <w:r w:rsidRPr="00444BA7">
              <w:rPr>
                <w:b/>
                <w:noProof/>
                <w:szCs w:val="24"/>
                <w:lang w:eastAsia="en-GB"/>
              </w:rPr>
              <mc:AlternateContent>
                <mc:Choice Requires="wps">
                  <w:drawing>
                    <wp:anchor distT="0" distB="0" distL="114300" distR="114300" simplePos="0" relativeHeight="251701760" behindDoc="0" locked="0" layoutInCell="1" allowOverlap="1" wp14:anchorId="1D75A168" wp14:editId="44BDDFA8">
                      <wp:simplePos x="0" y="0"/>
                      <wp:positionH relativeFrom="column">
                        <wp:posOffset>3863975</wp:posOffset>
                      </wp:positionH>
                      <wp:positionV relativeFrom="paragraph">
                        <wp:posOffset>81280</wp:posOffset>
                      </wp:positionV>
                      <wp:extent cx="238125" cy="1809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89" type="#_x0000_t202" style="position:absolute;margin-left:304.25pt;margin-top:6.4pt;width:18.75pt;height:14.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" fillcolor="window" strokeweight=".5pt">
                      <v:textbox>
                        <w:txbxContent>
                          <w:p w:rsidR="0098525C" w:rsidRDefault="0098525C" w:rsidP="005E7A17"/>
                        </w:txbxContent>
                      </v:textbox>
                    </v:shape>
                  </w:pict>
                </mc:Fallback>
              </mc:AlternateContent>
            </w:r>
            <w:r w:rsidRPr="00444BA7">
              <w:rPr>
                <w:b/>
                <w:noProof/>
                <w:szCs w:val="24"/>
                <w:lang w:eastAsia="en-GB"/>
              </w:rPr>
              <mc:AlternateContent>
                <mc:Choice Requires="wps">
                  <w:drawing>
                    <wp:anchor distT="0" distB="0" distL="114300" distR="114300" simplePos="0" relativeHeight="251697664" behindDoc="0" locked="0" layoutInCell="1" allowOverlap="1" wp14:anchorId="433A17CF" wp14:editId="26B029A1">
                      <wp:simplePos x="0" y="0"/>
                      <wp:positionH relativeFrom="column">
                        <wp:posOffset>3009265</wp:posOffset>
                      </wp:positionH>
                      <wp:positionV relativeFrom="paragraph">
                        <wp:posOffset>78105</wp:posOffset>
                      </wp:positionV>
                      <wp:extent cx="238125" cy="1809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90" type="#_x0000_t202" style="position:absolute;margin-left:236.95pt;margin-top:6.15pt;width:18.75pt;height:14.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" fillcolor="window" strokeweight=".5pt">
                      <v:textbox>
                        <w:txbxContent>
                          <w:p w:rsidR="0098525C" w:rsidRDefault="0098525C" w:rsidP="005E7A17"/>
                        </w:txbxContent>
                      </v:textbox>
                    </v:shape>
                  </w:pict>
                </mc:Fallback>
              </mc:AlternateContent>
            </w:r>
            <w:r w:rsidRPr="00444BA7">
              <w:rPr>
                <w:b/>
                <w:noProof/>
                <w:szCs w:val="24"/>
                <w:lang w:eastAsia="en-GB"/>
              </w:rPr>
              <mc:AlternateContent>
                <mc:Choice Requires="wps">
                  <w:drawing>
                    <wp:anchor distT="0" distB="0" distL="114300" distR="114300" simplePos="0" relativeHeight="251698688" behindDoc="0" locked="0" layoutInCell="1" allowOverlap="1" wp14:anchorId="4F39DFA0" wp14:editId="7A44EAAB">
                      <wp:simplePos x="0" y="0"/>
                      <wp:positionH relativeFrom="column">
                        <wp:posOffset>2152015</wp:posOffset>
                      </wp:positionH>
                      <wp:positionV relativeFrom="paragraph">
                        <wp:posOffset>78105</wp:posOffset>
                      </wp:positionV>
                      <wp:extent cx="238125" cy="18097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91" type="#_x0000_t202" style="position:absolute;margin-left:169.45pt;margin-top:6.15pt;width:18.75pt;height:14.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" fillcolor="window" strokeweight=".5pt">
                      <v:textbox>
                        <w:txbxContent>
                          <w:p w:rsidR="0098525C" w:rsidRDefault="0098525C" w:rsidP="005E7A17"/>
                        </w:txbxContent>
                      </v:textbox>
                    </v:shape>
                  </w:pict>
                </mc:Fallback>
              </mc:AlternateContent>
            </w:r>
            <w:r w:rsidRPr="00444BA7">
              <w:rPr>
                <w:b/>
                <w:noProof/>
                <w:szCs w:val="24"/>
                <w:lang w:eastAsia="en-GB"/>
              </w:rPr>
              <mc:AlternateContent>
                <mc:Choice Requires="wps">
                  <w:drawing>
                    <wp:anchor distT="0" distB="0" distL="114300" distR="114300" simplePos="0" relativeHeight="251699712" behindDoc="0" locked="0" layoutInCell="1" allowOverlap="1" wp14:anchorId="40EB9164" wp14:editId="28357921">
                      <wp:simplePos x="0" y="0"/>
                      <wp:positionH relativeFrom="column">
                        <wp:posOffset>1050925</wp:posOffset>
                      </wp:positionH>
                      <wp:positionV relativeFrom="paragraph">
                        <wp:posOffset>79375</wp:posOffset>
                      </wp:positionV>
                      <wp:extent cx="238125" cy="1809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92" type="#_x0000_t202" style="position:absolute;margin-left:82.75pt;margin-top:6.25pt;width:18.75pt;height:14.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" fillcolor="window" strokeweight=".5pt">
                      <v:textbox>
                        <w:txbxContent>
                          <w:p w:rsidR="0098525C" w:rsidRDefault="0098525C" w:rsidP="005E7A17"/>
                        </w:txbxContent>
                      </v:textbox>
                    </v:shape>
                  </w:pict>
                </mc:Fallback>
              </mc:AlternateContent>
            </w:r>
            <w:r w:rsidRPr="00444BA7">
              <w:rPr>
                <w:b/>
                <w:sz w:val="24"/>
                <w:szCs w:val="24"/>
              </w:rPr>
              <w:t xml:space="preserve">None </w:t>
            </w:r>
            <w:r w:rsidRPr="00444BA7">
              <w:rPr>
                <w:b/>
                <w:sz w:val="24"/>
                <w:szCs w:val="24"/>
              </w:rPr>
              <w:tab/>
              <w:t xml:space="preserve">Low </w:t>
            </w:r>
            <w:r w:rsidRPr="00444BA7">
              <w:rPr>
                <w:b/>
                <w:sz w:val="24"/>
                <w:szCs w:val="24"/>
              </w:rPr>
              <w:tab/>
              <w:t xml:space="preserve">Moderate </w:t>
            </w:r>
            <w:r w:rsidRPr="00444BA7">
              <w:rPr>
                <w:b/>
                <w:sz w:val="24"/>
                <w:szCs w:val="24"/>
              </w:rPr>
              <w:tab/>
              <w:t xml:space="preserve">Severe </w:t>
            </w:r>
            <w:r w:rsidRPr="00444BA7">
              <w:rPr>
                <w:b/>
                <w:sz w:val="24"/>
                <w:szCs w:val="24"/>
              </w:rPr>
              <w:tab/>
              <w:t xml:space="preserve">Death </w:t>
            </w:r>
          </w:p>
        </w:tc>
      </w:tr>
      <w:tr w:rsidR="005E7A17" w:rsidRPr="00444BA7" w:rsidTr="00617D44">
        <w:trPr>
          <w:trHeight w:val="529"/>
        </w:trPr>
        <w:tc>
          <w:tcPr>
            <w:tcW w:w="2518" w:type="dxa"/>
            <w:gridSpan w:val="2"/>
          </w:tcPr>
          <w:p w:rsidR="005E7A17" w:rsidRPr="00444BA7" w:rsidRDefault="005E7A17" w:rsidP="003A186A">
            <w:pPr>
              <w:rPr>
                <w:b/>
                <w:sz w:val="24"/>
                <w:szCs w:val="24"/>
              </w:rPr>
            </w:pPr>
            <w:r w:rsidRPr="00444BA7">
              <w:rPr>
                <w:b/>
                <w:sz w:val="24"/>
                <w:szCs w:val="24"/>
              </w:rPr>
              <w:t>Junior Doctor Involvement?</w:t>
            </w:r>
          </w:p>
        </w:tc>
        <w:tc>
          <w:tcPr>
            <w:tcW w:w="7623" w:type="dxa"/>
            <w:gridSpan w:val="7"/>
          </w:tcPr>
          <w:p w:rsidR="005E7A17" w:rsidRDefault="005E7A17" w:rsidP="003A186A">
            <w:pPr>
              <w:tabs>
                <w:tab w:val="left" w:pos="1500"/>
                <w:tab w:val="left" w:pos="2955"/>
              </w:tabs>
              <w:rPr>
                <w:b/>
                <w:noProof/>
                <w:sz w:val="24"/>
                <w:szCs w:val="24"/>
              </w:rPr>
            </w:pPr>
            <w:r w:rsidRPr="00444BA7">
              <w:rPr>
                <w:b/>
                <w:noProof/>
                <w:sz w:val="24"/>
                <w:szCs w:val="24"/>
              </w:rPr>
              <w:t>Include Specialty and Grade</w:t>
            </w:r>
          </w:p>
          <w:p w:rsidR="005E7A17" w:rsidRPr="00444BA7" w:rsidRDefault="005E7A17" w:rsidP="003A186A">
            <w:pPr>
              <w:tabs>
                <w:tab w:val="left" w:pos="1500"/>
                <w:tab w:val="left" w:pos="2955"/>
              </w:tabs>
              <w:rPr>
                <w:b/>
                <w:noProof/>
                <w:sz w:val="24"/>
                <w:szCs w:val="24"/>
              </w:rPr>
            </w:pPr>
          </w:p>
        </w:tc>
      </w:tr>
      <w:tr w:rsidR="005E7A17" w:rsidRPr="00444BA7" w:rsidTr="00617D44">
        <w:tc>
          <w:tcPr>
            <w:tcW w:w="10141" w:type="dxa"/>
            <w:gridSpan w:val="9"/>
            <w:shd w:val="clear" w:color="auto" w:fill="D9D9D9" w:themeFill="background1" w:themeFillShade="D9"/>
          </w:tcPr>
          <w:p w:rsidR="005E7A17" w:rsidRPr="00444BA7" w:rsidRDefault="005E7A17" w:rsidP="003A186A">
            <w:pPr>
              <w:rPr>
                <w:b/>
                <w:sz w:val="32"/>
                <w:szCs w:val="32"/>
              </w:rPr>
            </w:pPr>
            <w:r w:rsidRPr="00444BA7">
              <w:rPr>
                <w:b/>
                <w:sz w:val="32"/>
                <w:szCs w:val="32"/>
              </w:rPr>
              <w:t xml:space="preserve">What Happened </w:t>
            </w:r>
          </w:p>
        </w:tc>
      </w:tr>
      <w:tr w:rsidR="005E7A17" w:rsidRPr="00444BA7" w:rsidTr="00617D44">
        <w:tc>
          <w:tcPr>
            <w:tcW w:w="2518" w:type="dxa"/>
            <w:gridSpan w:val="2"/>
          </w:tcPr>
          <w:p w:rsidR="005E7A17" w:rsidRPr="00444BA7" w:rsidRDefault="005E7A17" w:rsidP="003A186A">
            <w:pPr>
              <w:rPr>
                <w:b/>
                <w:sz w:val="24"/>
                <w:szCs w:val="24"/>
              </w:rPr>
            </w:pPr>
            <w:r w:rsidRPr="00444BA7">
              <w:rPr>
                <w:b/>
                <w:sz w:val="24"/>
                <w:szCs w:val="24"/>
              </w:rPr>
              <w:t>Type of Incident</w:t>
            </w:r>
          </w:p>
        </w:tc>
        <w:tc>
          <w:tcPr>
            <w:tcW w:w="7623" w:type="dxa"/>
            <w:gridSpan w:val="7"/>
          </w:tcPr>
          <w:p w:rsidR="005E7A17" w:rsidRPr="00444BA7" w:rsidRDefault="005E7A17" w:rsidP="003A186A">
            <w:pPr>
              <w:rPr>
                <w:sz w:val="24"/>
                <w:szCs w:val="24"/>
              </w:rPr>
            </w:pPr>
          </w:p>
        </w:tc>
      </w:tr>
      <w:tr w:rsidR="005E7A17" w:rsidRPr="00444BA7" w:rsidTr="00617D44">
        <w:trPr>
          <w:trHeight w:val="441"/>
        </w:trPr>
        <w:tc>
          <w:tcPr>
            <w:tcW w:w="2518" w:type="dxa"/>
            <w:gridSpan w:val="2"/>
          </w:tcPr>
          <w:p w:rsidR="005E7A17" w:rsidRPr="00444BA7" w:rsidRDefault="005E7A17" w:rsidP="003A186A">
            <w:pPr>
              <w:rPr>
                <w:b/>
                <w:sz w:val="24"/>
                <w:szCs w:val="24"/>
              </w:rPr>
            </w:pPr>
            <w:r w:rsidRPr="00444BA7">
              <w:rPr>
                <w:b/>
                <w:sz w:val="24"/>
                <w:szCs w:val="24"/>
              </w:rPr>
              <w:t>Actual/Near Miss?</w:t>
            </w:r>
          </w:p>
        </w:tc>
        <w:tc>
          <w:tcPr>
            <w:tcW w:w="7623" w:type="dxa"/>
            <w:gridSpan w:val="7"/>
          </w:tcPr>
          <w:p w:rsidR="005E7A17" w:rsidRDefault="005E7A17" w:rsidP="003A186A">
            <w:pPr>
              <w:rPr>
                <w:sz w:val="28"/>
                <w:szCs w:val="28"/>
              </w:rPr>
            </w:pPr>
          </w:p>
          <w:p w:rsidR="005E7A17" w:rsidRPr="00444BA7" w:rsidRDefault="005E7A17" w:rsidP="003A186A">
            <w:pPr>
              <w:rPr>
                <w:sz w:val="28"/>
                <w:szCs w:val="28"/>
              </w:rPr>
            </w:pPr>
          </w:p>
        </w:tc>
      </w:tr>
      <w:tr w:rsidR="005E7A17" w:rsidRPr="00444BA7" w:rsidTr="00617D44">
        <w:tc>
          <w:tcPr>
            <w:tcW w:w="2518" w:type="dxa"/>
            <w:gridSpan w:val="2"/>
          </w:tcPr>
          <w:p w:rsidR="005E7A17" w:rsidRPr="00444BA7" w:rsidRDefault="005E7A17" w:rsidP="003A186A">
            <w:pPr>
              <w:rPr>
                <w:b/>
                <w:sz w:val="24"/>
                <w:szCs w:val="24"/>
              </w:rPr>
            </w:pPr>
            <w:r w:rsidRPr="00444BA7">
              <w:rPr>
                <w:b/>
                <w:sz w:val="24"/>
                <w:szCs w:val="24"/>
              </w:rPr>
              <w:t>Never Event?</w:t>
            </w:r>
          </w:p>
        </w:tc>
        <w:tc>
          <w:tcPr>
            <w:tcW w:w="2737" w:type="dxa"/>
            <w:gridSpan w:val="3"/>
          </w:tcPr>
          <w:p w:rsidR="005E7A17" w:rsidRPr="00444BA7" w:rsidRDefault="005E7A17" w:rsidP="003A186A">
            <w:pPr>
              <w:tabs>
                <w:tab w:val="left" w:pos="1815"/>
              </w:tabs>
              <w:rPr>
                <w:sz w:val="24"/>
                <w:szCs w:val="24"/>
              </w:rPr>
            </w:pPr>
            <w:r w:rsidRPr="00444BA7">
              <w:rPr>
                <w:b/>
                <w:noProof/>
                <w:szCs w:val="24"/>
                <w:lang w:eastAsia="en-GB"/>
              </w:rPr>
              <mc:AlternateContent>
                <mc:Choice Requires="wps">
                  <w:drawing>
                    <wp:anchor distT="0" distB="0" distL="114300" distR="114300" simplePos="0" relativeHeight="251696640" behindDoc="0" locked="0" layoutInCell="1" allowOverlap="1" wp14:anchorId="2674ABA0" wp14:editId="64E8DB49">
                      <wp:simplePos x="0" y="0"/>
                      <wp:positionH relativeFrom="column">
                        <wp:posOffset>327660</wp:posOffset>
                      </wp:positionH>
                      <wp:positionV relativeFrom="paragraph">
                        <wp:posOffset>34290</wp:posOffset>
                      </wp:positionV>
                      <wp:extent cx="238125" cy="1809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93" type="#_x0000_t202" style="position:absolute;margin-left:25.8pt;margin-top:2.7pt;width:18.75pt;height:14.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" fillcolor="window" strokeweight=".5pt">
                      <v:textbox>
                        <w:txbxContent>
                          <w:p w:rsidR="0098525C" w:rsidRDefault="0098525C" w:rsidP="005E7A17"/>
                        </w:txbxContent>
                      </v:textbox>
                    </v:shape>
                  </w:pict>
                </mc:Fallback>
              </mc:AlternateContent>
            </w:r>
            <w:r w:rsidRPr="00444BA7">
              <w:rPr>
                <w:b/>
                <w:sz w:val="24"/>
                <w:szCs w:val="24"/>
              </w:rPr>
              <w:t xml:space="preserve">Yes  </w:t>
            </w:r>
            <w:r w:rsidRPr="00444BA7">
              <w:rPr>
                <w:sz w:val="24"/>
                <w:szCs w:val="24"/>
              </w:rPr>
              <w:t xml:space="preserve">  </w:t>
            </w:r>
            <w:r w:rsidRPr="00444BA7">
              <w:rPr>
                <w:sz w:val="24"/>
                <w:szCs w:val="24"/>
              </w:rPr>
              <w:tab/>
              <w:t xml:space="preserve"> </w:t>
            </w:r>
          </w:p>
        </w:tc>
        <w:tc>
          <w:tcPr>
            <w:tcW w:w="2090" w:type="dxa"/>
            <w:gridSpan w:val="3"/>
          </w:tcPr>
          <w:p w:rsidR="005E7A17" w:rsidRPr="00444BA7" w:rsidRDefault="005E7A17" w:rsidP="003A186A">
            <w:pPr>
              <w:tabs>
                <w:tab w:val="left" w:pos="1815"/>
              </w:tabs>
              <w:rPr>
                <w:b/>
                <w:sz w:val="24"/>
                <w:szCs w:val="24"/>
              </w:rPr>
            </w:pPr>
            <w:r>
              <w:rPr>
                <w:b/>
                <w:sz w:val="24"/>
                <w:szCs w:val="24"/>
              </w:rPr>
              <w:t>Expected level of investigation</w:t>
            </w:r>
            <w:r w:rsidRPr="00444BA7">
              <w:rPr>
                <w:b/>
                <w:sz w:val="24"/>
                <w:szCs w:val="24"/>
              </w:rPr>
              <w:t xml:space="preserve"> </w:t>
            </w:r>
          </w:p>
        </w:tc>
        <w:tc>
          <w:tcPr>
            <w:tcW w:w="2796" w:type="dxa"/>
          </w:tcPr>
          <w:p w:rsidR="005E7A17" w:rsidRDefault="005E7A17" w:rsidP="003A186A">
            <w:pPr>
              <w:tabs>
                <w:tab w:val="left" w:pos="1815"/>
              </w:tabs>
              <w:rPr>
                <w:sz w:val="24"/>
                <w:szCs w:val="24"/>
              </w:rPr>
            </w:pPr>
          </w:p>
          <w:p w:rsidR="005E7A17" w:rsidRDefault="005E7A17" w:rsidP="003A186A">
            <w:pPr>
              <w:tabs>
                <w:tab w:val="left" w:pos="1815"/>
              </w:tabs>
              <w:rPr>
                <w:sz w:val="24"/>
                <w:szCs w:val="24"/>
              </w:rPr>
            </w:pPr>
          </w:p>
          <w:p w:rsidR="00617D44" w:rsidRDefault="00617D44" w:rsidP="003A186A">
            <w:pPr>
              <w:tabs>
                <w:tab w:val="left" w:pos="1815"/>
              </w:tabs>
              <w:rPr>
                <w:sz w:val="24"/>
                <w:szCs w:val="24"/>
              </w:rPr>
            </w:pPr>
          </w:p>
          <w:p w:rsidR="005E7A17" w:rsidRPr="00444BA7" w:rsidRDefault="005E7A17" w:rsidP="003A186A">
            <w:pPr>
              <w:tabs>
                <w:tab w:val="left" w:pos="1815"/>
              </w:tabs>
              <w:rPr>
                <w:sz w:val="24"/>
                <w:szCs w:val="24"/>
              </w:rPr>
            </w:pPr>
          </w:p>
        </w:tc>
      </w:tr>
      <w:tr w:rsidR="005E7A17" w:rsidRPr="00444BA7" w:rsidTr="00617D44">
        <w:trPr>
          <w:trHeight w:val="415"/>
        </w:trPr>
        <w:tc>
          <w:tcPr>
            <w:tcW w:w="10141" w:type="dxa"/>
            <w:gridSpan w:val="9"/>
            <w:shd w:val="clear" w:color="auto" w:fill="D9D9D9" w:themeFill="background1" w:themeFillShade="D9"/>
          </w:tcPr>
          <w:p w:rsidR="005E7A17" w:rsidRPr="00444BA7" w:rsidRDefault="005E7A17" w:rsidP="003A186A">
            <w:pPr>
              <w:rPr>
                <w:sz w:val="32"/>
                <w:szCs w:val="32"/>
              </w:rPr>
            </w:pPr>
            <w:r w:rsidRPr="00444BA7">
              <w:rPr>
                <w:b/>
                <w:sz w:val="32"/>
                <w:szCs w:val="32"/>
              </w:rPr>
              <w:lastRenderedPageBreak/>
              <w:t>Description of Incident</w:t>
            </w:r>
          </w:p>
        </w:tc>
      </w:tr>
      <w:tr w:rsidR="005E7A17" w:rsidRPr="00444BA7" w:rsidTr="00617D44">
        <w:trPr>
          <w:trHeight w:val="4139"/>
        </w:trPr>
        <w:tc>
          <w:tcPr>
            <w:tcW w:w="10141" w:type="dxa"/>
            <w:gridSpan w:val="9"/>
          </w:tcPr>
          <w:p w:rsidR="005E7A17" w:rsidRPr="00444BA7" w:rsidRDefault="005E7A17" w:rsidP="003A186A">
            <w:pPr>
              <w:rPr>
                <w:sz w:val="28"/>
                <w:szCs w:val="28"/>
              </w:rPr>
            </w:pPr>
          </w:p>
        </w:tc>
      </w:tr>
      <w:tr w:rsidR="005E7A17" w:rsidRPr="00444BA7" w:rsidTr="00617D44">
        <w:trPr>
          <w:trHeight w:val="461"/>
        </w:trPr>
        <w:tc>
          <w:tcPr>
            <w:tcW w:w="10141" w:type="dxa"/>
            <w:gridSpan w:val="9"/>
            <w:shd w:val="clear" w:color="auto" w:fill="D9D9D9" w:themeFill="background1" w:themeFillShade="D9"/>
          </w:tcPr>
          <w:p w:rsidR="005E7A17" w:rsidRPr="00444BA7" w:rsidRDefault="005E7A17" w:rsidP="003A186A">
            <w:pPr>
              <w:rPr>
                <w:sz w:val="32"/>
                <w:szCs w:val="32"/>
              </w:rPr>
            </w:pPr>
            <w:r w:rsidRPr="00444BA7">
              <w:rPr>
                <w:b/>
                <w:sz w:val="32"/>
                <w:szCs w:val="32"/>
              </w:rPr>
              <w:t>Immediate Action Taken</w:t>
            </w:r>
          </w:p>
        </w:tc>
      </w:tr>
      <w:tr w:rsidR="005E7A17" w:rsidRPr="00444BA7" w:rsidTr="00617D44">
        <w:trPr>
          <w:trHeight w:val="3412"/>
        </w:trPr>
        <w:tc>
          <w:tcPr>
            <w:tcW w:w="10141" w:type="dxa"/>
            <w:gridSpan w:val="9"/>
          </w:tcPr>
          <w:p w:rsidR="005E7A17" w:rsidRPr="00444BA7" w:rsidRDefault="005E7A17" w:rsidP="003A186A">
            <w:pPr>
              <w:rPr>
                <w:sz w:val="28"/>
                <w:szCs w:val="28"/>
              </w:rPr>
            </w:pPr>
          </w:p>
        </w:tc>
      </w:tr>
      <w:tr w:rsidR="005E7A17" w:rsidRPr="00444BA7" w:rsidTr="00617D44">
        <w:tc>
          <w:tcPr>
            <w:tcW w:w="1930" w:type="dxa"/>
          </w:tcPr>
          <w:p w:rsidR="005E7A17" w:rsidRPr="00444BA7" w:rsidRDefault="005E7A17" w:rsidP="003A186A">
            <w:pPr>
              <w:rPr>
                <w:b/>
                <w:sz w:val="24"/>
                <w:szCs w:val="24"/>
              </w:rPr>
            </w:pPr>
            <w:r w:rsidRPr="00444BA7">
              <w:rPr>
                <w:b/>
                <w:sz w:val="24"/>
                <w:szCs w:val="24"/>
              </w:rPr>
              <w:t>Media Interest?</w:t>
            </w:r>
          </w:p>
        </w:tc>
        <w:tc>
          <w:tcPr>
            <w:tcW w:w="2344" w:type="dxa"/>
            <w:gridSpan w:val="2"/>
          </w:tcPr>
          <w:p w:rsidR="005E7A17" w:rsidRPr="00444BA7" w:rsidRDefault="005E7A17" w:rsidP="003A186A">
            <w:pPr>
              <w:tabs>
                <w:tab w:val="left" w:pos="1155"/>
                <w:tab w:val="left" w:pos="1875"/>
                <w:tab w:val="left" w:pos="2610"/>
              </w:tabs>
              <w:rPr>
                <w:sz w:val="28"/>
                <w:szCs w:val="28"/>
              </w:rPr>
            </w:pPr>
            <w:r w:rsidRPr="00444BA7">
              <w:rPr>
                <w:b/>
                <w:noProof/>
                <w:szCs w:val="24"/>
                <w:lang w:eastAsia="en-GB"/>
              </w:rPr>
              <mc:AlternateContent>
                <mc:Choice Requires="wps">
                  <w:drawing>
                    <wp:anchor distT="0" distB="0" distL="114300" distR="114300" simplePos="0" relativeHeight="251694592" behindDoc="0" locked="0" layoutInCell="1" allowOverlap="1" wp14:anchorId="54316845" wp14:editId="0679F65D">
                      <wp:simplePos x="0" y="0"/>
                      <wp:positionH relativeFrom="column">
                        <wp:posOffset>1033145</wp:posOffset>
                      </wp:positionH>
                      <wp:positionV relativeFrom="paragraph">
                        <wp:posOffset>54610</wp:posOffset>
                      </wp:positionV>
                      <wp:extent cx="238125" cy="1714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ysClr val="window" lastClr="FFFFFF"/>
                              </a:solidFill>
                              <a:ln w="6350">
                                <a:solidFill>
                                  <a:prstClr val="black"/>
                                </a:solidFill>
                              </a:ln>
                              <a:effectLst/>
                            </wps:spPr>
                            <wps:txbx>
                              <w:txbxContent>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94" type="#_x0000_t202" style="position:absolute;margin-left:81.35pt;margin-top:4.3pt;width:18.75pt;height: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" fillcolor="window" strokeweight=".5pt">
                      <v:textbox>
                        <w:txbxContent>
                          <w:p w:rsidR="0098525C" w:rsidRDefault="0098525C" w:rsidP="005E7A17"/>
                        </w:txbxContent>
                      </v:textbox>
                    </v:shape>
                  </w:pict>
                </mc:Fallback>
              </mc:AlternateContent>
            </w:r>
            <w:r w:rsidRPr="00444BA7">
              <w:rPr>
                <w:b/>
                <w:noProof/>
                <w:szCs w:val="24"/>
                <w:lang w:eastAsia="en-GB"/>
              </w:rPr>
              <mc:AlternateContent>
                <mc:Choice Requires="wps">
                  <w:drawing>
                    <wp:anchor distT="0" distB="0" distL="114300" distR="114300" simplePos="0" relativeHeight="251695616" behindDoc="0" locked="0" layoutInCell="1" allowOverlap="1" wp14:anchorId="0FECF25A" wp14:editId="101A32C0">
                      <wp:simplePos x="0" y="0"/>
                      <wp:positionH relativeFrom="column">
                        <wp:posOffset>332740</wp:posOffset>
                      </wp:positionH>
                      <wp:positionV relativeFrom="paragraph">
                        <wp:posOffset>53340</wp:posOffset>
                      </wp:positionV>
                      <wp:extent cx="238125" cy="1809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95" type="#_x0000_t202" style="position:absolute;margin-left:26.2pt;margin-top:4.2pt;width:18.75pt;height:14.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" fillcolor="window" strokeweight=".5pt">
                      <v:textbox>
                        <w:txbxContent>
                          <w:p w:rsidR="0098525C" w:rsidRDefault="0098525C" w:rsidP="005E7A17"/>
                        </w:txbxContent>
                      </v:textbox>
                    </v:shape>
                  </w:pict>
                </mc:Fallback>
              </mc:AlternateContent>
            </w:r>
            <w:r w:rsidRPr="00444BA7">
              <w:rPr>
                <w:b/>
                <w:sz w:val="24"/>
                <w:szCs w:val="24"/>
              </w:rPr>
              <w:t>Yes</w:t>
            </w:r>
            <w:r w:rsidRPr="00444BA7">
              <w:rPr>
                <w:b/>
                <w:sz w:val="28"/>
                <w:szCs w:val="28"/>
              </w:rPr>
              <w:t xml:space="preserve"> </w:t>
            </w:r>
            <w:r w:rsidRPr="00444BA7">
              <w:rPr>
                <w:sz w:val="28"/>
                <w:szCs w:val="28"/>
              </w:rPr>
              <w:t xml:space="preserve"> </w:t>
            </w:r>
            <w:r w:rsidRPr="00444BA7">
              <w:rPr>
                <w:sz w:val="28"/>
                <w:szCs w:val="28"/>
              </w:rPr>
              <w:tab/>
            </w:r>
            <w:r w:rsidRPr="00444BA7">
              <w:rPr>
                <w:b/>
                <w:sz w:val="24"/>
                <w:szCs w:val="24"/>
              </w:rPr>
              <w:t>No</w:t>
            </w:r>
            <w:r w:rsidRPr="00444BA7">
              <w:rPr>
                <w:sz w:val="28"/>
                <w:szCs w:val="28"/>
              </w:rPr>
              <w:tab/>
            </w:r>
            <w:r w:rsidRPr="00444BA7">
              <w:rPr>
                <w:sz w:val="28"/>
                <w:szCs w:val="28"/>
              </w:rPr>
              <w:tab/>
            </w:r>
          </w:p>
        </w:tc>
        <w:tc>
          <w:tcPr>
            <w:tcW w:w="2638" w:type="dxa"/>
            <w:gridSpan w:val="3"/>
          </w:tcPr>
          <w:p w:rsidR="005E7A17" w:rsidRPr="00444BA7" w:rsidRDefault="005E7A17" w:rsidP="003A186A">
            <w:pPr>
              <w:tabs>
                <w:tab w:val="left" w:pos="2610"/>
              </w:tabs>
              <w:rPr>
                <w:b/>
                <w:sz w:val="24"/>
                <w:szCs w:val="24"/>
              </w:rPr>
            </w:pPr>
            <w:r w:rsidRPr="00444BA7">
              <w:rPr>
                <w:b/>
                <w:sz w:val="24"/>
                <w:szCs w:val="24"/>
              </w:rPr>
              <w:t>Comms informed?</w:t>
            </w:r>
          </w:p>
        </w:tc>
        <w:tc>
          <w:tcPr>
            <w:tcW w:w="3229" w:type="dxa"/>
            <w:gridSpan w:val="3"/>
          </w:tcPr>
          <w:p w:rsidR="005E7A17" w:rsidRDefault="005E7A17" w:rsidP="003A186A">
            <w:pPr>
              <w:tabs>
                <w:tab w:val="center" w:pos="1057"/>
                <w:tab w:val="left" w:pos="2610"/>
              </w:tabs>
              <w:rPr>
                <w:sz w:val="24"/>
                <w:szCs w:val="24"/>
              </w:rPr>
            </w:pPr>
            <w:r w:rsidRPr="00444BA7">
              <w:rPr>
                <w:b/>
                <w:noProof/>
                <w:szCs w:val="24"/>
                <w:lang w:eastAsia="en-GB"/>
              </w:rPr>
              <mc:AlternateContent>
                <mc:Choice Requires="wps">
                  <w:drawing>
                    <wp:anchor distT="0" distB="0" distL="114300" distR="114300" simplePos="0" relativeHeight="251702784" behindDoc="0" locked="0" layoutInCell="1" allowOverlap="1" wp14:anchorId="5819B13C" wp14:editId="6CB1418E">
                      <wp:simplePos x="0" y="0"/>
                      <wp:positionH relativeFrom="column">
                        <wp:posOffset>1079500</wp:posOffset>
                      </wp:positionH>
                      <wp:positionV relativeFrom="paragraph">
                        <wp:posOffset>35560</wp:posOffset>
                      </wp:positionV>
                      <wp:extent cx="238125" cy="1714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ysClr val="window" lastClr="FFFFFF"/>
                              </a:solidFill>
                              <a:ln w="6350">
                                <a:solidFill>
                                  <a:prstClr val="black"/>
                                </a:solidFill>
                              </a:ln>
                              <a:effectLst/>
                            </wps:spPr>
                            <wps:txbx>
                              <w:txbxContent>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96" type="#_x0000_t202" style="position:absolute;margin-left:85pt;margin-top:2.8pt;width:18.75pt;height:13.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" fillcolor="window" strokeweight=".5pt">
                      <v:textbox>
                        <w:txbxContent>
                          <w:p w:rsidR="0098525C" w:rsidRDefault="0098525C" w:rsidP="005E7A17"/>
                        </w:txbxContent>
                      </v:textbox>
                    </v:shape>
                  </w:pict>
                </mc:Fallback>
              </mc:AlternateContent>
            </w:r>
            <w:r w:rsidRPr="00444BA7">
              <w:rPr>
                <w:b/>
                <w:noProof/>
                <w:szCs w:val="24"/>
                <w:lang w:eastAsia="en-GB"/>
              </w:rPr>
              <mc:AlternateContent>
                <mc:Choice Requires="wps">
                  <w:drawing>
                    <wp:anchor distT="0" distB="0" distL="114300" distR="114300" simplePos="0" relativeHeight="251703808" behindDoc="0" locked="0" layoutInCell="1" allowOverlap="1" wp14:anchorId="672CE0F7" wp14:editId="3FBF51A7">
                      <wp:simplePos x="0" y="0"/>
                      <wp:positionH relativeFrom="column">
                        <wp:posOffset>241300</wp:posOffset>
                      </wp:positionH>
                      <wp:positionV relativeFrom="paragraph">
                        <wp:posOffset>35560</wp:posOffset>
                      </wp:positionV>
                      <wp:extent cx="238125" cy="1714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ysClr val="window" lastClr="FFFFFF"/>
                              </a:solidFill>
                              <a:ln w="6350">
                                <a:solidFill>
                                  <a:prstClr val="black"/>
                                </a:solidFill>
                              </a:ln>
                              <a:effectLst/>
                            </wps:spPr>
                            <wps:txbx>
                              <w:txbxContent>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97" type="#_x0000_t202" style="position:absolute;margin-left:19pt;margin-top:2.8pt;width:18.75pt;height:1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" fillcolor="window" strokeweight=".5pt">
                      <v:textbox>
                        <w:txbxContent>
                          <w:p w:rsidR="0098525C" w:rsidRDefault="0098525C" w:rsidP="005E7A17"/>
                        </w:txbxContent>
                      </v:textbox>
                    </v:shape>
                  </w:pict>
                </mc:Fallback>
              </mc:AlternateContent>
            </w:r>
            <w:r w:rsidRPr="00444BA7">
              <w:rPr>
                <w:b/>
                <w:sz w:val="24"/>
                <w:szCs w:val="24"/>
              </w:rPr>
              <w:t xml:space="preserve">Yes </w:t>
            </w:r>
            <w:r w:rsidRPr="00444BA7">
              <w:rPr>
                <w:sz w:val="24"/>
                <w:szCs w:val="24"/>
              </w:rPr>
              <w:t xml:space="preserve"> </w:t>
            </w:r>
            <w:r w:rsidRPr="00444BA7">
              <w:rPr>
                <w:sz w:val="24"/>
                <w:szCs w:val="24"/>
              </w:rPr>
              <w:tab/>
              <w:t xml:space="preserve">            </w:t>
            </w:r>
            <w:r w:rsidRPr="00444BA7">
              <w:rPr>
                <w:b/>
                <w:sz w:val="24"/>
                <w:szCs w:val="24"/>
              </w:rPr>
              <w:t>No</w:t>
            </w:r>
            <w:r w:rsidRPr="00444BA7">
              <w:rPr>
                <w:sz w:val="24"/>
                <w:szCs w:val="24"/>
              </w:rPr>
              <w:tab/>
            </w:r>
          </w:p>
          <w:p w:rsidR="005E7A17" w:rsidRPr="00444BA7" w:rsidRDefault="005E7A17" w:rsidP="003A186A">
            <w:pPr>
              <w:tabs>
                <w:tab w:val="center" w:pos="1057"/>
                <w:tab w:val="left" w:pos="2610"/>
              </w:tabs>
              <w:rPr>
                <w:sz w:val="24"/>
                <w:szCs w:val="24"/>
              </w:rPr>
            </w:pPr>
          </w:p>
        </w:tc>
      </w:tr>
      <w:tr w:rsidR="005E7A17" w:rsidRPr="00444BA7" w:rsidTr="00617D44">
        <w:trPr>
          <w:trHeight w:val="637"/>
        </w:trPr>
        <w:tc>
          <w:tcPr>
            <w:tcW w:w="1930" w:type="dxa"/>
          </w:tcPr>
          <w:p w:rsidR="005E7A17" w:rsidRPr="00444BA7" w:rsidRDefault="005E7A17" w:rsidP="003A186A">
            <w:pPr>
              <w:rPr>
                <w:b/>
                <w:sz w:val="24"/>
                <w:szCs w:val="24"/>
              </w:rPr>
            </w:pPr>
            <w:r w:rsidRPr="00444BA7">
              <w:rPr>
                <w:b/>
                <w:sz w:val="24"/>
                <w:szCs w:val="24"/>
              </w:rPr>
              <w:t>Externally reportable?</w:t>
            </w:r>
          </w:p>
        </w:tc>
        <w:tc>
          <w:tcPr>
            <w:tcW w:w="2344" w:type="dxa"/>
            <w:gridSpan w:val="2"/>
          </w:tcPr>
          <w:p w:rsidR="005E7A17" w:rsidRPr="00444BA7" w:rsidRDefault="005E7A17" w:rsidP="003A186A">
            <w:pPr>
              <w:tabs>
                <w:tab w:val="center" w:pos="1238"/>
              </w:tabs>
              <w:rPr>
                <w:sz w:val="28"/>
                <w:szCs w:val="28"/>
              </w:rPr>
            </w:pPr>
            <w:r w:rsidRPr="00444BA7">
              <w:rPr>
                <w:b/>
                <w:noProof/>
                <w:szCs w:val="24"/>
                <w:lang w:eastAsia="en-GB"/>
              </w:rPr>
              <mc:AlternateContent>
                <mc:Choice Requires="wps">
                  <w:drawing>
                    <wp:anchor distT="0" distB="0" distL="114300" distR="114300" simplePos="0" relativeHeight="251692544" behindDoc="0" locked="0" layoutInCell="1" allowOverlap="1" wp14:anchorId="29AC390E" wp14:editId="4F158934">
                      <wp:simplePos x="0" y="0"/>
                      <wp:positionH relativeFrom="column">
                        <wp:posOffset>332740</wp:posOffset>
                      </wp:positionH>
                      <wp:positionV relativeFrom="paragraph">
                        <wp:posOffset>70485</wp:posOffset>
                      </wp:positionV>
                      <wp:extent cx="238125" cy="1809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98" type="#_x0000_t202" style="position:absolute;margin-left:26.2pt;margin-top:5.55pt;width:18.75pt;height:14.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" fillcolor="window" strokeweight=".5pt">
                      <v:textbox>
                        <w:txbxContent>
                          <w:p w:rsidR="0098525C" w:rsidRDefault="0098525C" w:rsidP="005E7A17"/>
                        </w:txbxContent>
                      </v:textbox>
                    </v:shape>
                  </w:pict>
                </mc:Fallback>
              </mc:AlternateContent>
            </w:r>
            <w:r w:rsidRPr="00444BA7">
              <w:rPr>
                <w:b/>
                <w:noProof/>
                <w:szCs w:val="24"/>
                <w:lang w:eastAsia="en-GB"/>
              </w:rPr>
              <mc:AlternateContent>
                <mc:Choice Requires="wps">
                  <w:drawing>
                    <wp:anchor distT="0" distB="0" distL="114300" distR="114300" simplePos="0" relativeHeight="251693568" behindDoc="0" locked="0" layoutInCell="1" allowOverlap="1" wp14:anchorId="083D75CC" wp14:editId="38DCC7C9">
                      <wp:simplePos x="0" y="0"/>
                      <wp:positionH relativeFrom="column">
                        <wp:posOffset>1035050</wp:posOffset>
                      </wp:positionH>
                      <wp:positionV relativeFrom="paragraph">
                        <wp:posOffset>80645</wp:posOffset>
                      </wp:positionV>
                      <wp:extent cx="238125" cy="1809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98525C" w:rsidRDefault="0098525C" w:rsidP="005E7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99" type="#_x0000_t202" style="position:absolute;margin-left:81.5pt;margin-top:6.35pt;width:18.75pt;height:14.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" fillcolor="window" strokeweight=".5pt">
                      <v:textbox>
                        <w:txbxContent>
                          <w:p w:rsidR="0098525C" w:rsidRDefault="0098525C" w:rsidP="005E7A17"/>
                        </w:txbxContent>
                      </v:textbox>
                    </v:shape>
                  </w:pict>
                </mc:Fallback>
              </mc:AlternateContent>
            </w:r>
            <w:r w:rsidRPr="00444BA7">
              <w:rPr>
                <w:b/>
                <w:sz w:val="24"/>
                <w:szCs w:val="24"/>
              </w:rPr>
              <w:t>Yes</w:t>
            </w:r>
            <w:r w:rsidRPr="00444BA7">
              <w:rPr>
                <w:sz w:val="24"/>
                <w:szCs w:val="24"/>
              </w:rPr>
              <w:t xml:space="preserve"> </w:t>
            </w:r>
            <w:r w:rsidRPr="00444BA7">
              <w:rPr>
                <w:sz w:val="28"/>
                <w:szCs w:val="28"/>
              </w:rPr>
              <w:t xml:space="preserve">  </w:t>
            </w:r>
            <w:r w:rsidRPr="00444BA7">
              <w:rPr>
                <w:sz w:val="28"/>
                <w:szCs w:val="28"/>
              </w:rPr>
              <w:tab/>
              <w:t xml:space="preserve"> </w:t>
            </w:r>
            <w:r w:rsidRPr="00444BA7">
              <w:rPr>
                <w:b/>
                <w:sz w:val="24"/>
                <w:szCs w:val="24"/>
              </w:rPr>
              <w:t xml:space="preserve">No </w:t>
            </w:r>
          </w:p>
        </w:tc>
        <w:tc>
          <w:tcPr>
            <w:tcW w:w="2638" w:type="dxa"/>
            <w:gridSpan w:val="3"/>
          </w:tcPr>
          <w:p w:rsidR="005E7A17" w:rsidRPr="00444BA7" w:rsidRDefault="005E7A17" w:rsidP="003A186A">
            <w:pPr>
              <w:rPr>
                <w:b/>
                <w:sz w:val="24"/>
                <w:szCs w:val="24"/>
              </w:rPr>
            </w:pPr>
            <w:r w:rsidRPr="00444BA7">
              <w:rPr>
                <w:b/>
                <w:sz w:val="24"/>
                <w:szCs w:val="24"/>
              </w:rPr>
              <w:t>Externally reported to?</w:t>
            </w:r>
          </w:p>
        </w:tc>
        <w:tc>
          <w:tcPr>
            <w:tcW w:w="3229" w:type="dxa"/>
            <w:gridSpan w:val="3"/>
          </w:tcPr>
          <w:p w:rsidR="005E7A17" w:rsidRPr="00444BA7" w:rsidRDefault="005E7A17" w:rsidP="003A186A">
            <w:pPr>
              <w:rPr>
                <w:sz w:val="28"/>
                <w:szCs w:val="28"/>
              </w:rPr>
            </w:pPr>
          </w:p>
        </w:tc>
      </w:tr>
      <w:tr w:rsidR="005E7A17" w:rsidRPr="00444BA7" w:rsidTr="00617D44">
        <w:trPr>
          <w:trHeight w:val="588"/>
        </w:trPr>
        <w:tc>
          <w:tcPr>
            <w:tcW w:w="10141" w:type="dxa"/>
            <w:gridSpan w:val="9"/>
            <w:shd w:val="clear" w:color="auto" w:fill="D9D9D9" w:themeFill="background1" w:themeFillShade="D9"/>
          </w:tcPr>
          <w:p w:rsidR="005E7A17" w:rsidRPr="00444BA7" w:rsidRDefault="005E7A17" w:rsidP="003A186A">
            <w:pPr>
              <w:tabs>
                <w:tab w:val="left" w:pos="1170"/>
                <w:tab w:val="left" w:pos="2325"/>
                <w:tab w:val="left" w:pos="3975"/>
                <w:tab w:val="left" w:pos="5325"/>
              </w:tabs>
              <w:rPr>
                <w:b/>
                <w:sz w:val="32"/>
                <w:szCs w:val="32"/>
              </w:rPr>
            </w:pPr>
            <w:r w:rsidRPr="00444BA7">
              <w:rPr>
                <w:b/>
                <w:sz w:val="32"/>
                <w:szCs w:val="32"/>
              </w:rPr>
              <w:t xml:space="preserve">Any Other Comments: </w:t>
            </w:r>
            <w:r w:rsidRPr="00444BA7">
              <w:rPr>
                <w:b/>
                <w:sz w:val="24"/>
                <w:szCs w:val="24"/>
              </w:rPr>
              <w:t>e.g. multiagency incident, police and /or HSE investigation, Coroner’s inquest, CQC involvement.</w:t>
            </w:r>
            <w:r w:rsidRPr="00444BA7">
              <w:rPr>
                <w:b/>
                <w:sz w:val="32"/>
                <w:szCs w:val="32"/>
              </w:rPr>
              <w:t xml:space="preserve"> </w:t>
            </w:r>
          </w:p>
        </w:tc>
      </w:tr>
      <w:tr w:rsidR="005E7A17" w:rsidRPr="00444BA7" w:rsidTr="00617D44">
        <w:trPr>
          <w:trHeight w:val="2861"/>
        </w:trPr>
        <w:tc>
          <w:tcPr>
            <w:tcW w:w="10141" w:type="dxa"/>
            <w:gridSpan w:val="9"/>
          </w:tcPr>
          <w:p w:rsidR="005E7A17" w:rsidRPr="00444BA7" w:rsidRDefault="005E7A17" w:rsidP="003A186A">
            <w:pPr>
              <w:tabs>
                <w:tab w:val="left" w:pos="1170"/>
                <w:tab w:val="left" w:pos="2325"/>
                <w:tab w:val="left" w:pos="3975"/>
                <w:tab w:val="left" w:pos="5325"/>
              </w:tabs>
              <w:rPr>
                <w:b/>
                <w:sz w:val="24"/>
                <w:szCs w:val="24"/>
              </w:rPr>
            </w:pPr>
          </w:p>
          <w:p w:rsidR="005E7A17" w:rsidRPr="00444BA7" w:rsidRDefault="005E7A17" w:rsidP="003A186A">
            <w:pPr>
              <w:tabs>
                <w:tab w:val="left" w:pos="1170"/>
                <w:tab w:val="left" w:pos="2325"/>
                <w:tab w:val="left" w:pos="3975"/>
                <w:tab w:val="left" w:pos="5325"/>
              </w:tabs>
              <w:rPr>
                <w:b/>
                <w:sz w:val="24"/>
                <w:szCs w:val="24"/>
              </w:rPr>
            </w:pPr>
          </w:p>
          <w:p w:rsidR="005E7A17" w:rsidRPr="00444BA7" w:rsidRDefault="005E7A17" w:rsidP="003A186A">
            <w:pPr>
              <w:tabs>
                <w:tab w:val="left" w:pos="1170"/>
                <w:tab w:val="left" w:pos="2325"/>
                <w:tab w:val="left" w:pos="3975"/>
                <w:tab w:val="left" w:pos="5325"/>
              </w:tabs>
              <w:rPr>
                <w:b/>
                <w:sz w:val="24"/>
                <w:szCs w:val="24"/>
              </w:rPr>
            </w:pPr>
          </w:p>
          <w:p w:rsidR="005E7A17" w:rsidRPr="00444BA7" w:rsidRDefault="005E7A17" w:rsidP="003A186A">
            <w:pPr>
              <w:tabs>
                <w:tab w:val="left" w:pos="1170"/>
                <w:tab w:val="left" w:pos="2325"/>
                <w:tab w:val="left" w:pos="3975"/>
                <w:tab w:val="left" w:pos="5325"/>
              </w:tabs>
              <w:rPr>
                <w:b/>
                <w:sz w:val="24"/>
                <w:szCs w:val="24"/>
              </w:rPr>
            </w:pPr>
          </w:p>
        </w:tc>
      </w:tr>
    </w:tbl>
    <w:p w:rsidR="005E7A17" w:rsidRDefault="005E7A17" w:rsidP="005E7A17"/>
    <w:p w:rsidR="005E7A17" w:rsidRDefault="005E7A17" w:rsidP="005E7A17"/>
    <w:p w:rsidR="00617D44" w:rsidRPr="005E7A17" w:rsidRDefault="00617D44" w:rsidP="005E7A17"/>
    <w:p w:rsidR="005D2131" w:rsidRDefault="003432E4" w:rsidP="00AF44E1">
      <w:pPr>
        <w:pStyle w:val="Heading1"/>
      </w:pPr>
      <w:bookmarkStart w:id="66" w:name="_Toc414568078"/>
      <w:r>
        <w:t>Appendix 7</w:t>
      </w:r>
      <w:r w:rsidR="005D2131">
        <w:t>:</w:t>
      </w:r>
      <w:r>
        <w:t xml:space="preserve"> Communications</w:t>
      </w:r>
      <w:bookmarkEnd w:id="66"/>
    </w:p>
    <w:p w:rsidR="00F555EF" w:rsidRDefault="00F555EF" w:rsidP="00F555EF"/>
    <w:p w:rsidR="00F555EF" w:rsidRDefault="00F555EF" w:rsidP="00F555EF">
      <w:r>
        <w:t xml:space="preserve">A well-planned, structured communications plan is vital in managing serious incidents effectively. </w:t>
      </w:r>
      <w:r w:rsidR="00D131ED">
        <w:t xml:space="preserve">This should </w:t>
      </w:r>
      <w:r w:rsidR="00CE4F84">
        <w:t>include a comprehensive proactive and reactive communications strategy for internal and external communication. The relevant staff should be briefed to ensure that</w:t>
      </w:r>
      <w:r w:rsidR="001D359A">
        <w:t xml:space="preserve"> they</w:t>
      </w:r>
      <w:r w:rsidR="00CE4F84">
        <w:t xml:space="preserve"> can appropriately respond to internal and external communication requirements.  </w:t>
      </w:r>
    </w:p>
    <w:p w:rsidR="00F555EF" w:rsidRDefault="00F555EF" w:rsidP="00F555EF"/>
    <w:p w:rsidR="00F555EF" w:rsidRDefault="00F555EF" w:rsidP="00F555EF">
      <w:r>
        <w:t>The investigations team should</w:t>
      </w:r>
      <w:r w:rsidR="00014322">
        <w:t>;</w:t>
      </w:r>
    </w:p>
    <w:p w:rsidR="00F555EF" w:rsidRDefault="00F555EF" w:rsidP="00F555EF"/>
    <w:p w:rsidR="00F555EF" w:rsidRDefault="00F555EF" w:rsidP="0072371B">
      <w:pPr>
        <w:pStyle w:val="ListParagraph"/>
        <w:numPr>
          <w:ilvl w:val="0"/>
          <w:numId w:val="38"/>
        </w:numPr>
      </w:pPr>
      <w:r>
        <w:t>ensure openness and transparency is the default position – while patient confidentiality and data protection considerations must be maintained, any organisation using public money should be open and accountable to the public for its performance</w:t>
      </w:r>
      <w:r w:rsidR="001028BB">
        <w:rPr>
          <w:rStyle w:val="FootnoteReference"/>
        </w:rPr>
        <w:footnoteReference w:id="63"/>
      </w:r>
      <w:r>
        <w:t>;</w:t>
      </w:r>
    </w:p>
    <w:p w:rsidR="00F555EF" w:rsidRDefault="00F555EF" w:rsidP="0072371B">
      <w:pPr>
        <w:pStyle w:val="ListParagraph"/>
        <w:numPr>
          <w:ilvl w:val="0"/>
          <w:numId w:val="38"/>
        </w:numPr>
      </w:pPr>
      <w:r>
        <w:t>ensure there is regular communication between the provider, the commissioner, the</w:t>
      </w:r>
      <w:r w:rsidR="00411481">
        <w:t xml:space="preserve"> patient,</w:t>
      </w:r>
      <w:r>
        <w:t xml:space="preserve"> victim, their family and other stakeholders. Communication should be tailored to the needs of t</w:t>
      </w:r>
      <w:r w:rsidR="00617D44">
        <w:t xml:space="preserve">he recipient(s) (see </w:t>
      </w:r>
      <w:r>
        <w:t>correspondence checklist</w:t>
      </w:r>
      <w:r w:rsidR="00617D44">
        <w:t xml:space="preserve"> below</w:t>
      </w:r>
      <w:r>
        <w:t>);</w:t>
      </w:r>
    </w:p>
    <w:p w:rsidR="00F555EF" w:rsidRDefault="00F555EF" w:rsidP="0072371B">
      <w:pPr>
        <w:pStyle w:val="ListParagraph"/>
        <w:numPr>
          <w:ilvl w:val="0"/>
          <w:numId w:val="38"/>
        </w:numPr>
      </w:pPr>
      <w:r>
        <w:t>have a clear plan for sharing information about serious incidents with staff and external partner organisations, the public and the media;</w:t>
      </w:r>
    </w:p>
    <w:p w:rsidR="00411481" w:rsidRDefault="00411481" w:rsidP="0072371B">
      <w:pPr>
        <w:pStyle w:val="ListParagraph"/>
        <w:numPr>
          <w:ilvl w:val="0"/>
          <w:numId w:val="38"/>
        </w:numPr>
      </w:pPr>
      <w:r>
        <w:t>have a clear plan for managing concerns that arise (helplines may be required for incident</w:t>
      </w:r>
      <w:r w:rsidR="000C0CE6">
        <w:t>s</w:t>
      </w:r>
      <w:r>
        <w:t xml:space="preserve"> effecting large populations)</w:t>
      </w:r>
      <w:r w:rsidR="00014322">
        <w:t>;</w:t>
      </w:r>
    </w:p>
    <w:p w:rsidR="00F555EF" w:rsidRDefault="00F555EF" w:rsidP="0072371B">
      <w:pPr>
        <w:pStyle w:val="ListParagraph"/>
        <w:numPr>
          <w:ilvl w:val="0"/>
          <w:numId w:val="38"/>
        </w:numPr>
      </w:pPr>
      <w:r>
        <w:t>have a clear ongoing communications and engagement strategy, including clear arrangements for sign-off processes and spokespeople;</w:t>
      </w:r>
    </w:p>
    <w:p w:rsidR="00F555EF" w:rsidRDefault="00F555EF" w:rsidP="0072371B">
      <w:pPr>
        <w:pStyle w:val="ListParagraph"/>
        <w:numPr>
          <w:ilvl w:val="0"/>
          <w:numId w:val="38"/>
        </w:numPr>
      </w:pPr>
      <w:r>
        <w:t>inform communications leads in other local organisations in a timely and efficient manner (for example local authorities, CCGs, police);</w:t>
      </w:r>
    </w:p>
    <w:p w:rsidR="00F555EF" w:rsidRDefault="00F555EF" w:rsidP="0072371B">
      <w:pPr>
        <w:pStyle w:val="ListParagraph"/>
        <w:numPr>
          <w:ilvl w:val="0"/>
          <w:numId w:val="38"/>
        </w:numPr>
      </w:pPr>
      <w:r>
        <w:t>inform relevant sector or national stakeholders o</w:t>
      </w:r>
      <w:r w:rsidR="001D359A">
        <w:t>f</w:t>
      </w:r>
      <w:r>
        <w:t xml:space="preserve"> what is happening; and</w:t>
      </w:r>
    </w:p>
    <w:p w:rsidR="00F555EF" w:rsidRDefault="00F555EF" w:rsidP="0072371B">
      <w:pPr>
        <w:pStyle w:val="ListParagraph"/>
        <w:numPr>
          <w:ilvl w:val="0"/>
          <w:numId w:val="38"/>
        </w:numPr>
      </w:pPr>
      <w:r>
        <w:t xml:space="preserve">monitor and track the impact of the communications strategy. </w:t>
      </w:r>
    </w:p>
    <w:p w:rsidR="00F555EF" w:rsidRDefault="00F555EF" w:rsidP="00F555EF"/>
    <w:p w:rsidR="00F555EF" w:rsidRDefault="00F555EF" w:rsidP="00F555EF">
      <w:r>
        <w:t>In forensic/criminal cases, all communications with the media should be led by the police in partnership with the relevant agencies involved with the incident.</w:t>
      </w:r>
    </w:p>
    <w:p w:rsidR="00F555EF" w:rsidRDefault="00F555EF" w:rsidP="00F555EF"/>
    <w:p w:rsidR="00F555EF" w:rsidRDefault="00F555EF" w:rsidP="00F555EF">
      <w:r>
        <w:t>Information relating to serious incidents (including information held on national systems such as STEIS, local databases and internal reports, investigation reports and root cause analysis and other documents), could be subject to a request for disclosure under the Freedom of Information Act. A request for information regarding a serious incident</w:t>
      </w:r>
      <w:r w:rsidR="00356FCB">
        <w:t xml:space="preserve"> s</w:t>
      </w:r>
      <w:r>
        <w:t>hould follow Freedom of Information Act policies of the organisation that received the request.</w:t>
      </w:r>
    </w:p>
    <w:p w:rsidR="00F555EF" w:rsidRDefault="00F555EF" w:rsidP="00F555EF"/>
    <w:p w:rsidR="00617D44" w:rsidRPr="00617D44" w:rsidRDefault="00617D44" w:rsidP="00F555EF">
      <w:pPr>
        <w:rPr>
          <w:b/>
        </w:rPr>
      </w:pPr>
      <w:r w:rsidRPr="00617D44">
        <w:rPr>
          <w:b/>
        </w:rPr>
        <w:t xml:space="preserve">Communication </w:t>
      </w:r>
      <w:r w:rsidR="001D359A">
        <w:rPr>
          <w:b/>
        </w:rPr>
        <w:t>c</w:t>
      </w:r>
      <w:r w:rsidRPr="00617D44">
        <w:rPr>
          <w:b/>
        </w:rPr>
        <w:t>hecklist</w:t>
      </w:r>
    </w:p>
    <w:p w:rsidR="00617D44" w:rsidRDefault="00617D44" w:rsidP="00617D44"/>
    <w:p w:rsidR="00617D44" w:rsidRPr="004B6730" w:rsidRDefault="00617D44" w:rsidP="00617D44">
      <w:r w:rsidRPr="004B6730">
        <w:t xml:space="preserve">Regular communication will be necessary between the trust, the commissioner, the </w:t>
      </w:r>
      <w:r w:rsidR="00411481">
        <w:t xml:space="preserve">patients, </w:t>
      </w:r>
      <w:r w:rsidRPr="004B6730">
        <w:t>victim</w:t>
      </w:r>
      <w:r w:rsidR="00411481">
        <w:t>s</w:t>
      </w:r>
      <w:r w:rsidRPr="004B6730">
        <w:t>, families and other stakeholders. Communication should be tailored to the needs of the recipient(s)</w:t>
      </w:r>
      <w:r w:rsidR="002F11B3">
        <w:t xml:space="preserve">. </w:t>
      </w:r>
      <w:r w:rsidRPr="004B6730">
        <w:t xml:space="preserve">The following </w:t>
      </w:r>
      <w:r w:rsidR="001D359A">
        <w:t xml:space="preserve">are </w:t>
      </w:r>
      <w:r w:rsidRPr="004B6730">
        <w:t>suggest</w:t>
      </w:r>
      <w:r w:rsidR="001D359A">
        <w:t>ed</w:t>
      </w:r>
      <w:r w:rsidRPr="004B6730">
        <w:t xml:space="preserve"> issues to be considered when writing to different stakeholders.</w:t>
      </w:r>
    </w:p>
    <w:p w:rsidR="002F11B3" w:rsidRDefault="002F11B3" w:rsidP="00617D44">
      <w:pPr>
        <w:spacing w:after="200" w:line="276" w:lineRule="auto"/>
        <w:rPr>
          <w:b/>
        </w:rPr>
      </w:pPr>
    </w:p>
    <w:p w:rsidR="00617D44" w:rsidRPr="004B6730" w:rsidRDefault="00617D44" w:rsidP="00617D44">
      <w:pPr>
        <w:spacing w:after="200" w:line="276" w:lineRule="auto"/>
      </w:pPr>
      <w:r w:rsidRPr="00617D44">
        <w:rPr>
          <w:b/>
        </w:rPr>
        <w:t>Initial letter</w:t>
      </w:r>
      <w:r w:rsidR="001D359A">
        <w:rPr>
          <w:b/>
        </w:rPr>
        <w:t xml:space="preserve"> from the Trust</w:t>
      </w:r>
      <w:r w:rsidRPr="00617D44">
        <w:rPr>
          <w:b/>
        </w:rPr>
        <w:t xml:space="preserve"> to </w:t>
      </w:r>
      <w:r w:rsidR="00411481">
        <w:rPr>
          <w:b/>
        </w:rPr>
        <w:t xml:space="preserve">patients, </w:t>
      </w:r>
      <w:r w:rsidRPr="00617D44">
        <w:rPr>
          <w:b/>
        </w:rPr>
        <w:t xml:space="preserve">families, victims and perpetrators </w:t>
      </w:r>
    </w:p>
    <w:p w:rsidR="00617D44" w:rsidRDefault="00617D44" w:rsidP="00617D44">
      <w:pPr>
        <w:ind w:firstLine="360"/>
      </w:pPr>
      <w:r w:rsidRPr="004B6730">
        <w:t>The initial correspondence should consider the following areas:</w:t>
      </w:r>
    </w:p>
    <w:p w:rsidR="00014322" w:rsidRPr="004B6730" w:rsidRDefault="00014322" w:rsidP="00617D44">
      <w:pPr>
        <w:ind w:firstLine="360"/>
      </w:pPr>
    </w:p>
    <w:p w:rsidR="00617D44" w:rsidRPr="004B6730" w:rsidRDefault="00014322" w:rsidP="0072371B">
      <w:pPr>
        <w:numPr>
          <w:ilvl w:val="0"/>
          <w:numId w:val="45"/>
        </w:numPr>
        <w:spacing w:after="200"/>
      </w:pPr>
      <w:r>
        <w:t>E</w:t>
      </w:r>
      <w:r w:rsidR="00617D44" w:rsidRPr="004B6730">
        <w:t>xpression of condolence and regret</w:t>
      </w:r>
      <w:r>
        <w:t>:</w:t>
      </w:r>
    </w:p>
    <w:p w:rsidR="00617D44" w:rsidRPr="004B6730" w:rsidRDefault="00014322" w:rsidP="0072371B">
      <w:pPr>
        <w:numPr>
          <w:ilvl w:val="0"/>
          <w:numId w:val="45"/>
        </w:numPr>
        <w:spacing w:after="200"/>
      </w:pPr>
      <w:r>
        <w:t>D</w:t>
      </w:r>
      <w:r w:rsidR="00617D44" w:rsidRPr="004B6730">
        <w:t>escribe the process of investigation (and that other agencies may also be carrying out investigations, for example the police)</w:t>
      </w:r>
      <w:r>
        <w:t>:</w:t>
      </w:r>
    </w:p>
    <w:p w:rsidR="00617D44" w:rsidRPr="004B6730" w:rsidRDefault="00014322" w:rsidP="0072371B">
      <w:pPr>
        <w:numPr>
          <w:ilvl w:val="0"/>
          <w:numId w:val="45"/>
        </w:numPr>
        <w:spacing w:after="200"/>
      </w:pPr>
      <w:r>
        <w:t>D</w:t>
      </w:r>
      <w:r w:rsidR="00617D44" w:rsidRPr="004B6730">
        <w:t>escribe the current position in the investigation process</w:t>
      </w:r>
      <w:r>
        <w:t>:</w:t>
      </w:r>
    </w:p>
    <w:p w:rsidR="00617D44" w:rsidRPr="004B6730" w:rsidRDefault="00014322" w:rsidP="0072371B">
      <w:pPr>
        <w:numPr>
          <w:ilvl w:val="0"/>
          <w:numId w:val="45"/>
        </w:numPr>
        <w:spacing w:after="200"/>
      </w:pPr>
      <w:r>
        <w:t>D</w:t>
      </w:r>
      <w:r w:rsidR="00617D44" w:rsidRPr="004B6730">
        <w:t>escribe factors that will influence the timescale of the investigation</w:t>
      </w:r>
      <w:r>
        <w:t>:</w:t>
      </w:r>
    </w:p>
    <w:p w:rsidR="00617D44" w:rsidRPr="004B6730" w:rsidRDefault="00014322" w:rsidP="0072371B">
      <w:pPr>
        <w:numPr>
          <w:ilvl w:val="0"/>
          <w:numId w:val="45"/>
        </w:numPr>
        <w:spacing w:after="200"/>
      </w:pPr>
      <w:r>
        <w:t>D</w:t>
      </w:r>
      <w:r w:rsidRPr="004B6730">
        <w:t xml:space="preserve">escribe </w:t>
      </w:r>
      <w:r w:rsidR="00617D44" w:rsidRPr="004B6730">
        <w:t>how the family will be involved in the investigation process</w:t>
      </w:r>
      <w:r>
        <w:t>:</w:t>
      </w:r>
    </w:p>
    <w:p w:rsidR="00617D44" w:rsidRPr="004B6730" w:rsidRDefault="00014322" w:rsidP="0072371B">
      <w:pPr>
        <w:numPr>
          <w:ilvl w:val="0"/>
          <w:numId w:val="45"/>
        </w:numPr>
        <w:spacing w:after="200"/>
      </w:pPr>
      <w:r>
        <w:t>D</w:t>
      </w:r>
      <w:r w:rsidRPr="004B6730">
        <w:t xml:space="preserve">escribe </w:t>
      </w:r>
      <w:r w:rsidR="00617D44" w:rsidRPr="004B6730">
        <w:t>how the information about the event will be assimilated and disseminated</w:t>
      </w:r>
      <w:r>
        <w:t>:</w:t>
      </w:r>
    </w:p>
    <w:p w:rsidR="00617D44" w:rsidRPr="004B6730" w:rsidRDefault="00014322" w:rsidP="0072371B">
      <w:pPr>
        <w:numPr>
          <w:ilvl w:val="0"/>
          <w:numId w:val="45"/>
        </w:numPr>
        <w:spacing w:after="200"/>
      </w:pPr>
      <w:r>
        <w:t>P</w:t>
      </w:r>
      <w:r w:rsidR="00617D44" w:rsidRPr="004B6730">
        <w:t>rovide contact information for the person who will link with the family from the trust</w:t>
      </w:r>
      <w:r>
        <w:t>:</w:t>
      </w:r>
    </w:p>
    <w:p w:rsidR="00617D44" w:rsidRDefault="00014322" w:rsidP="0072371B">
      <w:pPr>
        <w:numPr>
          <w:ilvl w:val="0"/>
          <w:numId w:val="45"/>
        </w:numPr>
        <w:spacing w:after="200"/>
      </w:pPr>
      <w:r>
        <w:t>P</w:t>
      </w:r>
      <w:r w:rsidR="00617D44" w:rsidRPr="004B6730">
        <w:t>rovide information on support systems/agencies for the family available from the trust and independently including the police family liaison officer.</w:t>
      </w:r>
    </w:p>
    <w:p w:rsidR="00617D44" w:rsidRPr="00A7177F" w:rsidRDefault="00617D44" w:rsidP="00617D44">
      <w:pPr>
        <w:spacing w:after="200"/>
      </w:pPr>
      <w:r w:rsidRPr="00617D44">
        <w:rPr>
          <w:b/>
        </w:rPr>
        <w:t>Initial letter</w:t>
      </w:r>
      <w:r w:rsidR="001D359A">
        <w:rPr>
          <w:b/>
        </w:rPr>
        <w:t xml:space="preserve"> from the Trust</w:t>
      </w:r>
      <w:r w:rsidRPr="00617D44">
        <w:rPr>
          <w:b/>
        </w:rPr>
        <w:t xml:space="preserve"> to staff </w:t>
      </w:r>
    </w:p>
    <w:p w:rsidR="00617D44" w:rsidRDefault="00617D44" w:rsidP="00D96A4F">
      <w:r w:rsidRPr="00A7177F">
        <w:t>The initial correspondence to staff should consider the following areas:</w:t>
      </w:r>
    </w:p>
    <w:p w:rsidR="00617D44" w:rsidRPr="00A7177F" w:rsidRDefault="00617D44" w:rsidP="00617D44">
      <w:pPr>
        <w:ind w:firstLine="360"/>
      </w:pPr>
    </w:p>
    <w:p w:rsidR="00617D44" w:rsidRPr="00A7177F" w:rsidRDefault="00014322" w:rsidP="0072371B">
      <w:pPr>
        <w:numPr>
          <w:ilvl w:val="0"/>
          <w:numId w:val="43"/>
        </w:numPr>
        <w:spacing w:after="200"/>
      </w:pPr>
      <w:r>
        <w:t>E</w:t>
      </w:r>
      <w:r w:rsidRPr="00A7177F">
        <w:t xml:space="preserve">xpression </w:t>
      </w:r>
      <w:r w:rsidR="00617D44" w:rsidRPr="00A7177F">
        <w:t>of condolence and regret about the incident</w:t>
      </w:r>
      <w:r>
        <w:t>:</w:t>
      </w:r>
    </w:p>
    <w:p w:rsidR="00617D44" w:rsidRPr="00A7177F" w:rsidRDefault="00014322" w:rsidP="0072371B">
      <w:pPr>
        <w:numPr>
          <w:ilvl w:val="0"/>
          <w:numId w:val="43"/>
        </w:numPr>
        <w:spacing w:after="200"/>
      </w:pPr>
      <w:r>
        <w:t>A</w:t>
      </w:r>
      <w:r w:rsidRPr="00A7177F">
        <w:t xml:space="preserve">cknowledgement </w:t>
      </w:r>
      <w:r w:rsidR="00617D44" w:rsidRPr="00A7177F">
        <w:t>of the impact on staff</w:t>
      </w:r>
      <w:r>
        <w:t>:</w:t>
      </w:r>
    </w:p>
    <w:p w:rsidR="00617D44" w:rsidRPr="00A7177F" w:rsidRDefault="00014322" w:rsidP="0072371B">
      <w:pPr>
        <w:numPr>
          <w:ilvl w:val="0"/>
          <w:numId w:val="43"/>
        </w:numPr>
        <w:spacing w:after="200"/>
      </w:pPr>
      <w:r>
        <w:t>D</w:t>
      </w:r>
      <w:r w:rsidR="00617D44" w:rsidRPr="00A7177F">
        <w:t>escribe the process of investigation (and that other agencies may also be carrying out investigations, for example the police)</w:t>
      </w:r>
      <w:r>
        <w:t>:</w:t>
      </w:r>
    </w:p>
    <w:p w:rsidR="00617D44" w:rsidRPr="00A7177F" w:rsidRDefault="00014322" w:rsidP="0072371B">
      <w:pPr>
        <w:numPr>
          <w:ilvl w:val="0"/>
          <w:numId w:val="43"/>
        </w:numPr>
        <w:spacing w:after="200"/>
      </w:pPr>
      <w:r>
        <w:t>D</w:t>
      </w:r>
      <w:r w:rsidR="00617D44" w:rsidRPr="00A7177F">
        <w:t>escribe the current position in the investigation process</w:t>
      </w:r>
      <w:r>
        <w:t>:</w:t>
      </w:r>
    </w:p>
    <w:p w:rsidR="00617D44" w:rsidRPr="00A7177F" w:rsidRDefault="00014322" w:rsidP="0072371B">
      <w:pPr>
        <w:numPr>
          <w:ilvl w:val="0"/>
          <w:numId w:val="43"/>
        </w:numPr>
        <w:spacing w:after="200"/>
      </w:pPr>
      <w:r>
        <w:t>D</w:t>
      </w:r>
      <w:r w:rsidR="00617D44" w:rsidRPr="00A7177F">
        <w:t>escribe factors that will influence the timescale of the investigation</w:t>
      </w:r>
      <w:r>
        <w:t>:</w:t>
      </w:r>
    </w:p>
    <w:p w:rsidR="00617D44" w:rsidRPr="00A7177F" w:rsidRDefault="00014322" w:rsidP="0072371B">
      <w:pPr>
        <w:numPr>
          <w:ilvl w:val="0"/>
          <w:numId w:val="43"/>
        </w:numPr>
        <w:spacing w:after="200"/>
      </w:pPr>
      <w:r>
        <w:t>D</w:t>
      </w:r>
      <w:r w:rsidR="00617D44" w:rsidRPr="00A7177F">
        <w:t>escribe how staff will be invited to be involved in the investigation process</w:t>
      </w:r>
      <w:r>
        <w:t>:</w:t>
      </w:r>
    </w:p>
    <w:p w:rsidR="00617D44" w:rsidRPr="00A7177F" w:rsidRDefault="00014322" w:rsidP="0072371B">
      <w:pPr>
        <w:numPr>
          <w:ilvl w:val="0"/>
          <w:numId w:val="43"/>
        </w:numPr>
        <w:spacing w:after="200"/>
      </w:pPr>
      <w:r>
        <w:t>D</w:t>
      </w:r>
      <w:r w:rsidR="00617D44" w:rsidRPr="00A7177F">
        <w:t>escribe how the information about the event will be assimilated and disseminated</w:t>
      </w:r>
      <w:r>
        <w:t>:</w:t>
      </w:r>
    </w:p>
    <w:p w:rsidR="00617D44" w:rsidRDefault="00014322" w:rsidP="0072371B">
      <w:pPr>
        <w:numPr>
          <w:ilvl w:val="0"/>
          <w:numId w:val="43"/>
        </w:numPr>
        <w:spacing w:after="200"/>
      </w:pPr>
      <w:r>
        <w:t>P</w:t>
      </w:r>
      <w:r w:rsidR="00617D44" w:rsidRPr="00A7177F">
        <w:t>rovide contact information of the person who will link with the trust</w:t>
      </w:r>
      <w:r>
        <w:t>:</w:t>
      </w:r>
      <w:r w:rsidR="00617D44" w:rsidRPr="00A7177F">
        <w:t xml:space="preserve"> </w:t>
      </w:r>
    </w:p>
    <w:p w:rsidR="00617D44" w:rsidRPr="004B6730" w:rsidRDefault="00014322" w:rsidP="0072371B">
      <w:pPr>
        <w:numPr>
          <w:ilvl w:val="0"/>
          <w:numId w:val="43"/>
        </w:numPr>
        <w:spacing w:after="200"/>
      </w:pPr>
      <w:r>
        <w:t>P</w:t>
      </w:r>
      <w:r w:rsidR="00617D44" w:rsidRPr="00A7177F">
        <w:t>rovide information on staff support systems available within the trust and independently.</w:t>
      </w:r>
    </w:p>
    <w:p w:rsidR="00617D44" w:rsidRPr="00617D44" w:rsidRDefault="00617D44" w:rsidP="00617D44">
      <w:pPr>
        <w:spacing w:after="200"/>
      </w:pPr>
      <w:r w:rsidRPr="00617D44">
        <w:rPr>
          <w:b/>
        </w:rPr>
        <w:t xml:space="preserve">Initial letter to the victim’s family from the commissioner, where family liaison is transferred from the </w:t>
      </w:r>
      <w:r w:rsidR="001D359A">
        <w:rPr>
          <w:b/>
        </w:rPr>
        <w:t>T</w:t>
      </w:r>
      <w:r w:rsidRPr="00617D44">
        <w:rPr>
          <w:b/>
        </w:rPr>
        <w:t>rust (when for example</w:t>
      </w:r>
      <w:r w:rsidR="001D359A">
        <w:rPr>
          <w:b/>
        </w:rPr>
        <w:t>,</w:t>
      </w:r>
      <w:r w:rsidRPr="00617D44">
        <w:rPr>
          <w:b/>
        </w:rPr>
        <w:t xml:space="preserve"> an independent investigation is required)</w:t>
      </w:r>
    </w:p>
    <w:p w:rsidR="00617D44" w:rsidRPr="004B6730" w:rsidRDefault="00617D44" w:rsidP="00617D44">
      <w:pPr>
        <w:spacing w:after="200"/>
      </w:pPr>
      <w:r w:rsidRPr="004B6730">
        <w:lastRenderedPageBreak/>
        <w:t>The initial correspondence to the family of the victim should consider the following areas:</w:t>
      </w:r>
    </w:p>
    <w:p w:rsidR="00617D44" w:rsidRPr="004B6730" w:rsidRDefault="00014322" w:rsidP="0072371B">
      <w:pPr>
        <w:numPr>
          <w:ilvl w:val="0"/>
          <w:numId w:val="46"/>
        </w:numPr>
        <w:spacing w:after="200"/>
      </w:pPr>
      <w:r>
        <w:t>E</w:t>
      </w:r>
      <w:r w:rsidR="00617D44" w:rsidRPr="004B6730">
        <w:t>xpression of condolence and regret</w:t>
      </w:r>
      <w:r>
        <w:t>:</w:t>
      </w:r>
    </w:p>
    <w:p w:rsidR="00617D44" w:rsidRPr="004B6730" w:rsidRDefault="00014322" w:rsidP="0072371B">
      <w:pPr>
        <w:numPr>
          <w:ilvl w:val="0"/>
          <w:numId w:val="46"/>
        </w:numPr>
        <w:spacing w:after="200"/>
      </w:pPr>
      <w:r>
        <w:t>E</w:t>
      </w:r>
      <w:r w:rsidR="00617D44" w:rsidRPr="004B6730">
        <w:t>xplain why the commissioner is the point of liaison and not the trust</w:t>
      </w:r>
      <w:r>
        <w:t>:</w:t>
      </w:r>
    </w:p>
    <w:p w:rsidR="00617D44" w:rsidRPr="004B6730" w:rsidRDefault="00014322" w:rsidP="0072371B">
      <w:pPr>
        <w:numPr>
          <w:ilvl w:val="0"/>
          <w:numId w:val="46"/>
        </w:numPr>
        <w:spacing w:after="200"/>
      </w:pPr>
      <w:r>
        <w:t>D</w:t>
      </w:r>
      <w:r w:rsidRPr="004B6730">
        <w:t xml:space="preserve">escribe </w:t>
      </w:r>
      <w:r w:rsidR="00617D44" w:rsidRPr="004B6730">
        <w:t>the process of investigation (and that other agencies may also be carrying out investigations, for example the police)</w:t>
      </w:r>
      <w:r>
        <w:t>:</w:t>
      </w:r>
    </w:p>
    <w:p w:rsidR="00617D44" w:rsidRPr="004B6730" w:rsidRDefault="00014322" w:rsidP="0072371B">
      <w:pPr>
        <w:numPr>
          <w:ilvl w:val="0"/>
          <w:numId w:val="46"/>
        </w:numPr>
        <w:spacing w:after="200"/>
      </w:pPr>
      <w:r>
        <w:t>D</w:t>
      </w:r>
      <w:r w:rsidR="00617D44" w:rsidRPr="004B6730">
        <w:t>escribe the current position in the investigation process</w:t>
      </w:r>
      <w:r>
        <w:t>:</w:t>
      </w:r>
    </w:p>
    <w:p w:rsidR="00617D44" w:rsidRPr="004B6730" w:rsidRDefault="00014322" w:rsidP="0072371B">
      <w:pPr>
        <w:numPr>
          <w:ilvl w:val="0"/>
          <w:numId w:val="46"/>
        </w:numPr>
        <w:spacing w:after="200"/>
      </w:pPr>
      <w:r>
        <w:t>D</w:t>
      </w:r>
      <w:r w:rsidR="00617D44" w:rsidRPr="004B6730">
        <w:t>escribe factors that will influence the timescale of the investigation</w:t>
      </w:r>
      <w:r>
        <w:t>:</w:t>
      </w:r>
    </w:p>
    <w:p w:rsidR="00617D44" w:rsidRPr="004B6730" w:rsidRDefault="00014322" w:rsidP="0072371B">
      <w:pPr>
        <w:numPr>
          <w:ilvl w:val="0"/>
          <w:numId w:val="46"/>
        </w:numPr>
        <w:spacing w:after="200"/>
      </w:pPr>
      <w:r>
        <w:t>D</w:t>
      </w:r>
      <w:r w:rsidR="00617D44" w:rsidRPr="004B6730">
        <w:t>escribe how the family will be invited to be involved in the investigation process</w:t>
      </w:r>
      <w:r>
        <w:t>:</w:t>
      </w:r>
    </w:p>
    <w:p w:rsidR="00617D44" w:rsidRPr="004B6730" w:rsidRDefault="00014322" w:rsidP="0072371B">
      <w:pPr>
        <w:numPr>
          <w:ilvl w:val="0"/>
          <w:numId w:val="46"/>
        </w:numPr>
        <w:spacing w:after="200"/>
      </w:pPr>
      <w:r>
        <w:t>D</w:t>
      </w:r>
      <w:r w:rsidR="00617D44" w:rsidRPr="004B6730">
        <w:t>escribe how the information about the event will be assimilated and disseminated</w:t>
      </w:r>
      <w:r>
        <w:t>:</w:t>
      </w:r>
      <w:r w:rsidR="00617D44" w:rsidRPr="004B6730">
        <w:t xml:space="preserve"> </w:t>
      </w:r>
    </w:p>
    <w:p w:rsidR="00617D44" w:rsidRPr="004B6730" w:rsidRDefault="00014322" w:rsidP="0072371B">
      <w:pPr>
        <w:numPr>
          <w:ilvl w:val="0"/>
          <w:numId w:val="46"/>
        </w:numPr>
        <w:spacing w:after="200"/>
      </w:pPr>
      <w:r>
        <w:t>P</w:t>
      </w:r>
      <w:r w:rsidR="00617D44" w:rsidRPr="004B6730">
        <w:t>rovide contact information of the person who will link with the family from the commissioner</w:t>
      </w:r>
      <w:r>
        <w:t>:</w:t>
      </w:r>
    </w:p>
    <w:p w:rsidR="00617D44" w:rsidRPr="004B6730" w:rsidRDefault="00014322" w:rsidP="0072371B">
      <w:pPr>
        <w:numPr>
          <w:ilvl w:val="0"/>
          <w:numId w:val="46"/>
        </w:numPr>
        <w:spacing w:after="200"/>
      </w:pPr>
      <w:r>
        <w:t>P</w:t>
      </w:r>
      <w:r w:rsidR="00617D44" w:rsidRPr="004B6730">
        <w:t>rovide information on the support systems/agencies available to the family, available from the trust and independently, including the police family liaison officer.</w:t>
      </w:r>
    </w:p>
    <w:p w:rsidR="00617D44" w:rsidRPr="004B6730" w:rsidRDefault="00617D44" w:rsidP="00617D44">
      <w:pPr>
        <w:spacing w:after="200"/>
      </w:pPr>
      <w:r w:rsidRPr="00617D44">
        <w:rPr>
          <w:b/>
        </w:rPr>
        <w:t xml:space="preserve">Initial letter to the perpetrator’s family, where family liaison is transferred from the </w:t>
      </w:r>
      <w:r w:rsidR="001D359A">
        <w:rPr>
          <w:b/>
        </w:rPr>
        <w:t>T</w:t>
      </w:r>
      <w:r w:rsidRPr="00617D44">
        <w:rPr>
          <w:b/>
        </w:rPr>
        <w:t>rust (where applicable</w:t>
      </w:r>
      <w:r w:rsidR="001D359A">
        <w:rPr>
          <w:b/>
        </w:rPr>
        <w:t>;</w:t>
      </w:r>
      <w:r w:rsidRPr="00617D44">
        <w:rPr>
          <w:b/>
        </w:rPr>
        <w:t xml:space="preserve"> for </w:t>
      </w:r>
      <w:r w:rsidR="002F11B3" w:rsidRPr="00617D44">
        <w:rPr>
          <w:b/>
        </w:rPr>
        <w:t>example</w:t>
      </w:r>
      <w:r w:rsidR="001D359A">
        <w:rPr>
          <w:b/>
        </w:rPr>
        <w:t>,</w:t>
      </w:r>
      <w:r w:rsidR="002F11B3" w:rsidRPr="00617D44">
        <w:rPr>
          <w:b/>
        </w:rPr>
        <w:t xml:space="preserve"> when</w:t>
      </w:r>
      <w:r w:rsidRPr="00617D44">
        <w:rPr>
          <w:b/>
        </w:rPr>
        <w:t xml:space="preserve"> an independent investigation is required following homicide committed by a patient in receipt of Mental Health Services)</w:t>
      </w:r>
    </w:p>
    <w:p w:rsidR="00617D44" w:rsidRPr="004B6730" w:rsidRDefault="00617D44" w:rsidP="00617D44">
      <w:r w:rsidRPr="004B6730">
        <w:t>The initial correspondence to the family of the perpetrator should consider the following areas</w:t>
      </w:r>
      <w:r w:rsidR="00014322">
        <w:t>;</w:t>
      </w:r>
    </w:p>
    <w:p w:rsidR="00617D44" w:rsidRPr="004B6730" w:rsidRDefault="00617D44" w:rsidP="0072371B">
      <w:pPr>
        <w:numPr>
          <w:ilvl w:val="0"/>
          <w:numId w:val="44"/>
        </w:numPr>
        <w:spacing w:after="200"/>
      </w:pPr>
      <w:r w:rsidRPr="004B6730">
        <w:t>expression of condolence and regret;</w:t>
      </w:r>
    </w:p>
    <w:p w:rsidR="00617D44" w:rsidRPr="004B6730" w:rsidRDefault="00617D44" w:rsidP="0072371B">
      <w:pPr>
        <w:numPr>
          <w:ilvl w:val="0"/>
          <w:numId w:val="44"/>
        </w:numPr>
        <w:spacing w:after="200"/>
      </w:pPr>
      <w:r>
        <w:t>explain why the commissioner</w:t>
      </w:r>
      <w:r w:rsidRPr="004B6730">
        <w:t xml:space="preserve"> is the point of liaison and not the trust;</w:t>
      </w:r>
    </w:p>
    <w:p w:rsidR="00617D44" w:rsidRPr="004B6730" w:rsidRDefault="00617D44" w:rsidP="0072371B">
      <w:pPr>
        <w:numPr>
          <w:ilvl w:val="0"/>
          <w:numId w:val="44"/>
        </w:numPr>
        <w:spacing w:after="200"/>
      </w:pPr>
      <w:r w:rsidRPr="004B6730">
        <w:t>describe the process of investigation (and that other agencies may also be carrying out investigations, for example the police);</w:t>
      </w:r>
    </w:p>
    <w:p w:rsidR="00617D44" w:rsidRPr="004B6730" w:rsidRDefault="00617D44" w:rsidP="0072371B">
      <w:pPr>
        <w:numPr>
          <w:ilvl w:val="0"/>
          <w:numId w:val="44"/>
        </w:numPr>
        <w:spacing w:after="200"/>
      </w:pPr>
      <w:r w:rsidRPr="004B6730">
        <w:t>describe the current position in the investigation process;</w:t>
      </w:r>
    </w:p>
    <w:p w:rsidR="00617D44" w:rsidRPr="004B6730" w:rsidRDefault="00617D44" w:rsidP="0072371B">
      <w:pPr>
        <w:numPr>
          <w:ilvl w:val="0"/>
          <w:numId w:val="44"/>
        </w:numPr>
        <w:spacing w:after="200"/>
      </w:pPr>
      <w:r w:rsidRPr="004B6730">
        <w:t>describe factors that will influence the timescale of the investigation;</w:t>
      </w:r>
    </w:p>
    <w:p w:rsidR="00617D44" w:rsidRPr="004B6730" w:rsidRDefault="00617D44" w:rsidP="0072371B">
      <w:pPr>
        <w:numPr>
          <w:ilvl w:val="0"/>
          <w:numId w:val="44"/>
        </w:numPr>
        <w:spacing w:after="200"/>
      </w:pPr>
      <w:r w:rsidRPr="004B6730">
        <w:t>describe how the family of the victim will be invited to be involved in the investigation process (if appropriate);</w:t>
      </w:r>
    </w:p>
    <w:p w:rsidR="00617D44" w:rsidRPr="004B6730" w:rsidRDefault="00617D44" w:rsidP="0072371B">
      <w:pPr>
        <w:numPr>
          <w:ilvl w:val="0"/>
          <w:numId w:val="44"/>
        </w:numPr>
        <w:spacing w:after="200"/>
      </w:pPr>
      <w:r w:rsidRPr="004B6730">
        <w:t>describe how the information about the event will be assimilated and disseminated;</w:t>
      </w:r>
    </w:p>
    <w:p w:rsidR="00617D44" w:rsidRPr="004B6730" w:rsidRDefault="00617D44" w:rsidP="0072371B">
      <w:pPr>
        <w:numPr>
          <w:ilvl w:val="0"/>
          <w:numId w:val="44"/>
        </w:numPr>
        <w:spacing w:after="200"/>
      </w:pPr>
      <w:r w:rsidRPr="004B6730">
        <w:t xml:space="preserve">provide contact information of the person who will link with the family </w:t>
      </w:r>
      <w:r>
        <w:t>of the perpetrator from  the commissioner</w:t>
      </w:r>
      <w:r w:rsidRPr="004B6730">
        <w:t>;</w:t>
      </w:r>
    </w:p>
    <w:p w:rsidR="00617D44" w:rsidRPr="004B6730" w:rsidRDefault="00617D44" w:rsidP="0072371B">
      <w:pPr>
        <w:numPr>
          <w:ilvl w:val="0"/>
          <w:numId w:val="44"/>
        </w:numPr>
        <w:spacing w:after="200"/>
      </w:pPr>
      <w:r w:rsidRPr="004B6730">
        <w:lastRenderedPageBreak/>
        <w:t>provide information on independent support systems/agencies available to the family.</w:t>
      </w:r>
    </w:p>
    <w:p w:rsidR="00014322" w:rsidRDefault="00014322" w:rsidP="00617D44">
      <w:pPr>
        <w:spacing w:after="200"/>
        <w:rPr>
          <w:b/>
        </w:rPr>
      </w:pPr>
    </w:p>
    <w:p w:rsidR="00617D44" w:rsidRPr="004B6730" w:rsidRDefault="00617D44" w:rsidP="00617D44">
      <w:pPr>
        <w:spacing w:after="200"/>
      </w:pPr>
      <w:r w:rsidRPr="00617D44">
        <w:rPr>
          <w:b/>
        </w:rPr>
        <w:t>Letters inviting participation in the independent investigation</w:t>
      </w:r>
    </w:p>
    <w:p w:rsidR="00617D44" w:rsidRDefault="00617D44" w:rsidP="00466603">
      <w:r w:rsidRPr="004B6730">
        <w:t>Receiving such correspondence may be very difficult for some people involved in the independent investigation. Consideration should be given to other methods of inviting participation</w:t>
      </w:r>
      <w:r w:rsidR="001D359A">
        <w:t>-</w:t>
      </w:r>
      <w:r w:rsidRPr="004B6730">
        <w:t xml:space="preserve"> for example by a face-to-face request</w:t>
      </w:r>
      <w:r w:rsidR="001D359A">
        <w:t>-</w:t>
      </w:r>
      <w:r w:rsidRPr="004B6730">
        <w:t xml:space="preserve"> in the presence of people who the recipient will find supportive.</w:t>
      </w:r>
    </w:p>
    <w:p w:rsidR="00617D44" w:rsidRDefault="00617D44" w:rsidP="00617D44">
      <w:pPr>
        <w:ind w:left="360"/>
      </w:pPr>
    </w:p>
    <w:p w:rsidR="00617D44" w:rsidRDefault="00617D44" w:rsidP="00617D44">
      <w:pPr>
        <w:rPr>
          <w:b/>
        </w:rPr>
      </w:pPr>
      <w:r w:rsidRPr="00617D44">
        <w:rPr>
          <w:b/>
        </w:rPr>
        <w:t>Letters requesting participation in the independent investigation to families of victims and perpetrators, staff and other agencies’ personnel</w:t>
      </w:r>
    </w:p>
    <w:p w:rsidR="00617D44" w:rsidRPr="004B6730" w:rsidRDefault="00617D44" w:rsidP="00617D44"/>
    <w:p w:rsidR="00617D44" w:rsidRPr="004B6730" w:rsidRDefault="00617D44" w:rsidP="00466603">
      <w:pPr>
        <w:spacing w:after="200"/>
      </w:pPr>
      <w:r w:rsidRPr="004B6730">
        <w:t>Correspondence inviting families, staff and other individuals to participate in the independent investigation should consider</w:t>
      </w:r>
      <w:r w:rsidR="00A9142F">
        <w:t>;</w:t>
      </w:r>
    </w:p>
    <w:p w:rsidR="00617D44" w:rsidRPr="004B6730" w:rsidRDefault="00617D44" w:rsidP="0072371B">
      <w:pPr>
        <w:numPr>
          <w:ilvl w:val="0"/>
          <w:numId w:val="42"/>
        </w:numPr>
        <w:spacing w:after="200"/>
      </w:pPr>
      <w:r w:rsidRPr="004B6730">
        <w:t>acknowledging that participation may be difficult but may also be helpful to the person;</w:t>
      </w:r>
    </w:p>
    <w:p w:rsidR="00617D44" w:rsidRPr="004B6730" w:rsidRDefault="00617D44" w:rsidP="0072371B">
      <w:pPr>
        <w:numPr>
          <w:ilvl w:val="0"/>
          <w:numId w:val="42"/>
        </w:numPr>
        <w:spacing w:after="200"/>
      </w:pPr>
      <w:r w:rsidRPr="004B6730">
        <w:t>describing the form of participation that is being requested and methods of participation available, for example one-to-one interview, with all family members together, in the presence of other supporters such as staff representatives, advocates or friends, written submissions, use of video links;</w:t>
      </w:r>
    </w:p>
    <w:p w:rsidR="00617D44" w:rsidRPr="004B6730" w:rsidRDefault="00617D44" w:rsidP="0072371B">
      <w:pPr>
        <w:numPr>
          <w:ilvl w:val="0"/>
          <w:numId w:val="42"/>
        </w:numPr>
        <w:spacing w:after="200"/>
      </w:pPr>
      <w:r w:rsidRPr="004B6730">
        <w:t>describing the status of written statements provided to the investigation;</w:t>
      </w:r>
    </w:p>
    <w:p w:rsidR="00617D44" w:rsidRPr="004B6730" w:rsidRDefault="00617D44" w:rsidP="0072371B">
      <w:pPr>
        <w:numPr>
          <w:ilvl w:val="0"/>
          <w:numId w:val="42"/>
        </w:numPr>
        <w:spacing w:after="200"/>
      </w:pPr>
      <w:r w:rsidRPr="004B6730">
        <w:t xml:space="preserve">offering the person an opportunity to discuss the process with a named person before making a decision to participate; </w:t>
      </w:r>
    </w:p>
    <w:p w:rsidR="00617D44" w:rsidRPr="004B6730" w:rsidRDefault="00617D44" w:rsidP="0072371B">
      <w:pPr>
        <w:numPr>
          <w:ilvl w:val="0"/>
          <w:numId w:val="42"/>
        </w:numPr>
        <w:spacing w:after="200"/>
      </w:pPr>
      <w:r w:rsidRPr="004B6730">
        <w:t>suggesting that the person discusses participation with an advocate or supporter who is independent of the process;</w:t>
      </w:r>
    </w:p>
    <w:p w:rsidR="00617D44" w:rsidRPr="004B6730" w:rsidRDefault="00617D44" w:rsidP="0072371B">
      <w:pPr>
        <w:numPr>
          <w:ilvl w:val="0"/>
          <w:numId w:val="42"/>
        </w:numPr>
        <w:spacing w:after="200"/>
      </w:pPr>
      <w:r w:rsidRPr="004B6730">
        <w:t>describing the implications for the investigation process of participating or not participating;</w:t>
      </w:r>
    </w:p>
    <w:p w:rsidR="00617D44" w:rsidRPr="004B6730" w:rsidRDefault="00617D44" w:rsidP="0072371B">
      <w:pPr>
        <w:numPr>
          <w:ilvl w:val="0"/>
          <w:numId w:val="42"/>
        </w:numPr>
        <w:spacing w:after="200"/>
      </w:pPr>
      <w:r w:rsidRPr="004B6730">
        <w:t>describing what will happen to the information that is provided after the independent investigation has been completed;</w:t>
      </w:r>
    </w:p>
    <w:p w:rsidR="00617D44" w:rsidRPr="004B6730" w:rsidRDefault="00617D44" w:rsidP="0072371B">
      <w:pPr>
        <w:numPr>
          <w:ilvl w:val="0"/>
          <w:numId w:val="42"/>
        </w:numPr>
        <w:spacing w:after="200"/>
      </w:pPr>
      <w:r w:rsidRPr="004B6730">
        <w:t xml:space="preserve">describing how poor practice issues and whistle-blowing will be dealt with; </w:t>
      </w:r>
    </w:p>
    <w:p w:rsidR="00617D44" w:rsidRPr="004B6730" w:rsidRDefault="00617D44" w:rsidP="0072371B">
      <w:pPr>
        <w:numPr>
          <w:ilvl w:val="0"/>
          <w:numId w:val="42"/>
        </w:numPr>
        <w:spacing w:after="200"/>
      </w:pPr>
      <w:r w:rsidRPr="004B6730">
        <w:t>detailing any limits to confidentiality for all participants in the process;</w:t>
      </w:r>
      <w:r w:rsidR="00A9142F">
        <w:t xml:space="preserve"> and</w:t>
      </w:r>
    </w:p>
    <w:p w:rsidR="00617D44" w:rsidRPr="004B6730" w:rsidRDefault="00617D44" w:rsidP="0072371B">
      <w:pPr>
        <w:numPr>
          <w:ilvl w:val="0"/>
          <w:numId w:val="42"/>
        </w:numPr>
        <w:spacing w:after="200"/>
      </w:pPr>
      <w:r w:rsidRPr="004B6730">
        <w:t>reaffirming messages contained within earlier correspondence.</w:t>
      </w:r>
    </w:p>
    <w:p w:rsidR="00617D44" w:rsidRPr="004B6730" w:rsidRDefault="00617D44" w:rsidP="00617D44">
      <w:pPr>
        <w:spacing w:after="200"/>
      </w:pPr>
      <w:r w:rsidRPr="00617D44">
        <w:rPr>
          <w:b/>
        </w:rPr>
        <w:t>Letters prior to publication of the independent investigation report to families of the victim, the perpetrator and other independent investigation participants</w:t>
      </w:r>
    </w:p>
    <w:p w:rsidR="00617D44" w:rsidRDefault="00617D44" w:rsidP="00466603">
      <w:r w:rsidRPr="004B6730">
        <w:t>Consideration should be given t</w:t>
      </w:r>
      <w:r w:rsidR="00A9142F">
        <w:t>o;</w:t>
      </w:r>
    </w:p>
    <w:p w:rsidR="00617D44" w:rsidRPr="004B6730" w:rsidRDefault="00617D44" w:rsidP="00617D44">
      <w:pPr>
        <w:ind w:firstLine="360"/>
      </w:pPr>
    </w:p>
    <w:p w:rsidR="00617D44" w:rsidRPr="004B6730" w:rsidRDefault="00617D44" w:rsidP="0072371B">
      <w:pPr>
        <w:numPr>
          <w:ilvl w:val="0"/>
          <w:numId w:val="41"/>
        </w:numPr>
        <w:spacing w:after="200"/>
      </w:pPr>
      <w:r w:rsidRPr="004B6730">
        <w:t xml:space="preserve">acknowledging that the process of publication will be difficult for many involved in the independent investigation; </w:t>
      </w:r>
    </w:p>
    <w:p w:rsidR="00617D44" w:rsidRPr="004B6730" w:rsidRDefault="00617D44" w:rsidP="0072371B">
      <w:pPr>
        <w:numPr>
          <w:ilvl w:val="0"/>
          <w:numId w:val="41"/>
        </w:numPr>
        <w:spacing w:after="200"/>
      </w:pPr>
      <w:r w:rsidRPr="004B6730">
        <w:lastRenderedPageBreak/>
        <w:t>describing how and where publication will occur, for example hard copy report, press statements,</w:t>
      </w:r>
    </w:p>
    <w:p w:rsidR="00617D44" w:rsidRPr="004B6730" w:rsidRDefault="00617D44" w:rsidP="0072371B">
      <w:pPr>
        <w:numPr>
          <w:ilvl w:val="0"/>
          <w:numId w:val="41"/>
        </w:numPr>
        <w:spacing w:after="200"/>
      </w:pPr>
      <w:r w:rsidRPr="004B6730">
        <w:t xml:space="preserve">anticipated media involvement; </w:t>
      </w:r>
    </w:p>
    <w:p w:rsidR="00617D44" w:rsidRPr="004B6730" w:rsidRDefault="00617D44" w:rsidP="0072371B">
      <w:pPr>
        <w:numPr>
          <w:ilvl w:val="0"/>
          <w:numId w:val="41"/>
        </w:numPr>
        <w:spacing w:after="200"/>
      </w:pPr>
      <w:r w:rsidRPr="004B6730">
        <w:t>anticipated response from the media and others with an interest in the published independent investigation report;</w:t>
      </w:r>
    </w:p>
    <w:p w:rsidR="00617D44" w:rsidRPr="004B6730" w:rsidRDefault="00617D44" w:rsidP="0072371B">
      <w:pPr>
        <w:numPr>
          <w:ilvl w:val="0"/>
          <w:numId w:val="41"/>
        </w:numPr>
        <w:spacing w:after="200"/>
      </w:pPr>
      <w:r w:rsidRPr="004B6730">
        <w:t>stating that publication is the end of the independent investigation process;</w:t>
      </w:r>
    </w:p>
    <w:p w:rsidR="00617D44" w:rsidRPr="004B6730" w:rsidRDefault="00617D44" w:rsidP="0072371B">
      <w:pPr>
        <w:numPr>
          <w:ilvl w:val="0"/>
          <w:numId w:val="41"/>
        </w:numPr>
        <w:spacing w:after="200"/>
      </w:pPr>
      <w:r w:rsidRPr="004B6730">
        <w:t>describing the process of how the investigation’s recommendations will be enacted;</w:t>
      </w:r>
    </w:p>
    <w:p w:rsidR="00617D44" w:rsidRPr="004B6730" w:rsidRDefault="00617D44" w:rsidP="0072371B">
      <w:pPr>
        <w:numPr>
          <w:ilvl w:val="0"/>
          <w:numId w:val="41"/>
        </w:numPr>
        <w:spacing w:after="200"/>
      </w:pPr>
      <w:r w:rsidRPr="004B6730">
        <w:t>describing how wider learning may occur, for example collation of reports for an</w:t>
      </w:r>
      <w:r>
        <w:t>nual thematic review by the Regional Investigations Advisory Panel</w:t>
      </w:r>
      <w:r w:rsidRPr="004B6730">
        <w:t xml:space="preserve">/National Confidential Inquiry </w:t>
      </w:r>
    </w:p>
    <w:p w:rsidR="00617D44" w:rsidRPr="004B6730" w:rsidRDefault="00617D44" w:rsidP="0072371B">
      <w:pPr>
        <w:numPr>
          <w:ilvl w:val="0"/>
          <w:numId w:val="41"/>
        </w:numPr>
        <w:spacing w:after="200"/>
      </w:pPr>
      <w:r w:rsidRPr="004B6730">
        <w:t xml:space="preserve">inviting participants, particularly the family of the victim, to meet the independent investigation  team or team leader, who can outline the findings of the report, recommendations, action plan; </w:t>
      </w:r>
    </w:p>
    <w:p w:rsidR="00617D44" w:rsidRDefault="00617D44" w:rsidP="0072371B">
      <w:pPr>
        <w:numPr>
          <w:ilvl w:val="0"/>
          <w:numId w:val="41"/>
        </w:numPr>
        <w:spacing w:after="200"/>
      </w:pPr>
      <w:r w:rsidRPr="004B6730">
        <w:t>Reiterating forms of support that will be available to participants after publication of the independent investigation report.</w:t>
      </w:r>
    </w:p>
    <w:p w:rsidR="00F555EF" w:rsidRPr="00F555EF" w:rsidRDefault="00D96A4F" w:rsidP="00F555EF">
      <w:r>
        <w:br w:type="page"/>
      </w:r>
    </w:p>
    <w:p w:rsidR="005D2131" w:rsidRDefault="003432E4" w:rsidP="00AF44E1">
      <w:pPr>
        <w:pStyle w:val="Heading1"/>
      </w:pPr>
      <w:bookmarkStart w:id="67" w:name="_Toc414568079"/>
      <w:r>
        <w:t>Appendix 8</w:t>
      </w:r>
      <w:r w:rsidR="005D2131">
        <w:t>:</w:t>
      </w:r>
      <w:r>
        <w:t xml:space="preserve"> Closure checklist</w:t>
      </w:r>
      <w:bookmarkEnd w:id="67"/>
    </w:p>
    <w:tbl>
      <w:tblPr>
        <w:tblStyle w:val="TableGrid"/>
        <w:tblW w:w="10916" w:type="dxa"/>
        <w:tblInd w:w="-743" w:type="dxa"/>
        <w:tblLayout w:type="fixed"/>
        <w:tblLook w:val="04A0" w:firstRow="1" w:lastRow="0" w:firstColumn="1" w:lastColumn="0" w:noHBand="0" w:noVBand="1"/>
      </w:tblPr>
      <w:tblGrid>
        <w:gridCol w:w="1418"/>
        <w:gridCol w:w="5529"/>
        <w:gridCol w:w="1134"/>
        <w:gridCol w:w="2835"/>
      </w:tblGrid>
      <w:tr w:rsidR="00D96A4F" w:rsidRPr="00623DA7" w:rsidTr="00686737">
        <w:tc>
          <w:tcPr>
            <w:tcW w:w="10916" w:type="dxa"/>
            <w:gridSpan w:val="4"/>
            <w:shd w:val="clear" w:color="auto" w:fill="FF73BC" w:themeFill="accent2" w:themeFillTint="66"/>
          </w:tcPr>
          <w:p w:rsidR="00D96A4F" w:rsidRPr="00623DA7" w:rsidRDefault="00D96A4F" w:rsidP="00D96A4F">
            <w:pPr>
              <w:jc w:val="center"/>
              <w:rPr>
                <w:rFonts w:cs="Arial"/>
                <w:sz w:val="20"/>
                <w:szCs w:val="20"/>
              </w:rPr>
            </w:pPr>
            <w:r w:rsidRPr="00D96A4F">
              <w:rPr>
                <w:rFonts w:cs="Arial"/>
                <w:sz w:val="20"/>
                <w:szCs w:val="20"/>
              </w:rPr>
              <w:t>This checklist provides a tool which can be used by providers and commissioners in their assessment of systems investigation into serious incidents.</w:t>
            </w:r>
            <w:r w:rsidR="00CE4F84">
              <w:rPr>
                <w:rFonts w:cs="Arial"/>
                <w:sz w:val="20"/>
                <w:szCs w:val="20"/>
              </w:rPr>
              <w:t xml:space="preserve"> The STEIS report must be fully completed including date investigation is completed, lesson learned and actions taken</w:t>
            </w:r>
          </w:p>
        </w:tc>
      </w:tr>
      <w:tr w:rsidR="00D96A4F" w:rsidRPr="00623DA7" w:rsidTr="00686737">
        <w:tc>
          <w:tcPr>
            <w:tcW w:w="1418" w:type="dxa"/>
            <w:shd w:val="clear" w:color="auto" w:fill="43AEFF" w:themeFill="accent1" w:themeFillTint="99"/>
          </w:tcPr>
          <w:p w:rsidR="00D96A4F" w:rsidRPr="00623DA7" w:rsidRDefault="00D96A4F" w:rsidP="0058419C">
            <w:pPr>
              <w:rPr>
                <w:rFonts w:cs="Arial"/>
                <w:sz w:val="20"/>
                <w:szCs w:val="20"/>
              </w:rPr>
            </w:pPr>
            <w:r w:rsidRPr="00623DA7">
              <w:rPr>
                <w:rFonts w:cs="Arial"/>
                <w:sz w:val="20"/>
                <w:szCs w:val="20"/>
              </w:rPr>
              <w:t>Phase of investigation</w:t>
            </w:r>
          </w:p>
        </w:tc>
        <w:tc>
          <w:tcPr>
            <w:tcW w:w="5529" w:type="dxa"/>
            <w:shd w:val="clear" w:color="auto" w:fill="43AEFF" w:themeFill="accent1" w:themeFillTint="99"/>
          </w:tcPr>
          <w:p w:rsidR="00D96A4F" w:rsidRPr="00623DA7" w:rsidRDefault="00D96A4F" w:rsidP="0058419C">
            <w:pPr>
              <w:rPr>
                <w:rFonts w:cs="Arial"/>
                <w:sz w:val="20"/>
                <w:szCs w:val="20"/>
              </w:rPr>
            </w:pPr>
            <w:r w:rsidRPr="00623DA7">
              <w:rPr>
                <w:rFonts w:cs="Arial"/>
                <w:sz w:val="20"/>
                <w:szCs w:val="20"/>
              </w:rPr>
              <w:t>Element</w:t>
            </w:r>
          </w:p>
        </w:tc>
        <w:tc>
          <w:tcPr>
            <w:tcW w:w="1134" w:type="dxa"/>
            <w:shd w:val="clear" w:color="auto" w:fill="43AEFF" w:themeFill="accent1" w:themeFillTint="99"/>
          </w:tcPr>
          <w:p w:rsidR="00D96A4F" w:rsidRPr="00623DA7" w:rsidRDefault="00D96A4F" w:rsidP="0058419C">
            <w:pPr>
              <w:rPr>
                <w:rFonts w:cs="Arial"/>
                <w:sz w:val="20"/>
                <w:szCs w:val="20"/>
              </w:rPr>
            </w:pPr>
            <w:r w:rsidRPr="00623DA7">
              <w:rPr>
                <w:rFonts w:cs="Arial"/>
                <w:sz w:val="20"/>
                <w:szCs w:val="20"/>
              </w:rPr>
              <w:t>Answer (yes/no)</w:t>
            </w:r>
          </w:p>
        </w:tc>
        <w:tc>
          <w:tcPr>
            <w:tcW w:w="2835" w:type="dxa"/>
            <w:shd w:val="clear" w:color="auto" w:fill="43AEFF" w:themeFill="accent1" w:themeFillTint="99"/>
          </w:tcPr>
          <w:p w:rsidR="00D96A4F" w:rsidRPr="00623DA7" w:rsidRDefault="00D96A4F" w:rsidP="0058419C">
            <w:pPr>
              <w:rPr>
                <w:rFonts w:cs="Arial"/>
                <w:sz w:val="20"/>
                <w:szCs w:val="20"/>
              </w:rPr>
            </w:pPr>
            <w:r w:rsidRPr="00623DA7">
              <w:rPr>
                <w:rFonts w:cs="Arial"/>
                <w:sz w:val="20"/>
                <w:szCs w:val="20"/>
              </w:rPr>
              <w:t>If no, was there a robust rationale and that prevents this affecting the quality of the investigation?</w:t>
            </w:r>
          </w:p>
        </w:tc>
      </w:tr>
      <w:tr w:rsidR="00D96A4F" w:rsidRPr="00623DA7" w:rsidTr="0058419C">
        <w:tc>
          <w:tcPr>
            <w:tcW w:w="1418" w:type="dxa"/>
            <w:vMerge w:val="restart"/>
          </w:tcPr>
          <w:p w:rsidR="00D96A4F" w:rsidRPr="00623DA7" w:rsidRDefault="00D96A4F" w:rsidP="0058419C">
            <w:pPr>
              <w:rPr>
                <w:rFonts w:cs="Arial"/>
                <w:sz w:val="20"/>
                <w:szCs w:val="20"/>
              </w:rPr>
            </w:pPr>
            <w:r w:rsidRPr="00623DA7">
              <w:rPr>
                <w:rFonts w:cs="Arial"/>
                <w:sz w:val="20"/>
                <w:szCs w:val="20"/>
              </w:rPr>
              <w:t>Set up/ preparation</w:t>
            </w:r>
          </w:p>
        </w:tc>
        <w:tc>
          <w:tcPr>
            <w:tcW w:w="5529" w:type="dxa"/>
          </w:tcPr>
          <w:p w:rsidR="00D96A4F" w:rsidRDefault="00D96A4F" w:rsidP="0058419C">
            <w:pPr>
              <w:rPr>
                <w:rFonts w:cs="Arial"/>
                <w:sz w:val="20"/>
                <w:szCs w:val="20"/>
              </w:rPr>
            </w:pPr>
            <w:r w:rsidRPr="00623DA7">
              <w:rPr>
                <w:rFonts w:cs="Arial"/>
                <w:sz w:val="20"/>
                <w:szCs w:val="20"/>
              </w:rPr>
              <w:t xml:space="preserve">Is the Lead Investigator appropriately trained? </w:t>
            </w:r>
          </w:p>
          <w:p w:rsidR="00D96A4F" w:rsidRPr="00623DA7" w:rsidRDefault="00D96A4F" w:rsidP="0058419C">
            <w:pPr>
              <w:rPr>
                <w:rFonts w:cs="Arial"/>
                <w:sz w:val="20"/>
                <w:szCs w:val="20"/>
              </w:rPr>
            </w:pPr>
          </w:p>
        </w:tc>
        <w:tc>
          <w:tcPr>
            <w:tcW w:w="1134" w:type="dxa"/>
          </w:tcPr>
          <w:p w:rsidR="00D96A4F" w:rsidRPr="00623DA7" w:rsidRDefault="00D96A4F" w:rsidP="0058419C">
            <w:pPr>
              <w:rPr>
                <w:rFonts w:cs="Arial"/>
                <w:sz w:val="20"/>
                <w:szCs w:val="20"/>
              </w:rPr>
            </w:pPr>
          </w:p>
        </w:tc>
        <w:tc>
          <w:tcPr>
            <w:tcW w:w="2835" w:type="dxa"/>
          </w:tcPr>
          <w:p w:rsidR="00D96A4F" w:rsidRPr="00623DA7" w:rsidRDefault="00D96A4F" w:rsidP="0058419C">
            <w:pPr>
              <w:rPr>
                <w:rFonts w:cs="Arial"/>
                <w:sz w:val="20"/>
                <w:szCs w:val="20"/>
              </w:rPr>
            </w:pPr>
          </w:p>
        </w:tc>
      </w:tr>
      <w:tr w:rsidR="00D96A4F" w:rsidRPr="00623DA7" w:rsidTr="0058419C">
        <w:tc>
          <w:tcPr>
            <w:tcW w:w="1418" w:type="dxa"/>
            <w:vMerge/>
          </w:tcPr>
          <w:p w:rsidR="00D96A4F" w:rsidRPr="00623DA7" w:rsidRDefault="00D96A4F" w:rsidP="0058419C">
            <w:pPr>
              <w:rPr>
                <w:rFonts w:cs="Arial"/>
                <w:sz w:val="20"/>
                <w:szCs w:val="20"/>
              </w:rPr>
            </w:pPr>
          </w:p>
        </w:tc>
        <w:tc>
          <w:tcPr>
            <w:tcW w:w="5529" w:type="dxa"/>
          </w:tcPr>
          <w:p w:rsidR="00D96A4F" w:rsidRPr="00623DA7" w:rsidRDefault="00D96A4F" w:rsidP="0058419C">
            <w:pPr>
              <w:rPr>
                <w:rFonts w:cs="Arial"/>
                <w:sz w:val="20"/>
                <w:szCs w:val="20"/>
              </w:rPr>
            </w:pPr>
            <w:r w:rsidRPr="00623DA7">
              <w:rPr>
                <w:rFonts w:cs="Arial"/>
                <w:sz w:val="20"/>
                <w:szCs w:val="20"/>
              </w:rPr>
              <w:t>Was there a pre-</w:t>
            </w:r>
            <w:r w:rsidR="009B2090">
              <w:rPr>
                <w:rFonts w:cs="Arial"/>
                <w:sz w:val="20"/>
                <w:szCs w:val="20"/>
              </w:rPr>
              <w:t>incident</w:t>
            </w:r>
            <w:r w:rsidRPr="00623DA7">
              <w:rPr>
                <w:rFonts w:cs="Arial"/>
                <w:sz w:val="20"/>
                <w:szCs w:val="20"/>
              </w:rPr>
              <w:t xml:space="preserve"> risk assessment?</w:t>
            </w:r>
          </w:p>
          <w:p w:rsidR="00D96A4F" w:rsidRPr="00623DA7" w:rsidRDefault="00D96A4F" w:rsidP="0058419C">
            <w:pPr>
              <w:rPr>
                <w:rFonts w:cs="Arial"/>
                <w:sz w:val="20"/>
                <w:szCs w:val="20"/>
              </w:rPr>
            </w:pPr>
          </w:p>
        </w:tc>
        <w:tc>
          <w:tcPr>
            <w:tcW w:w="1134" w:type="dxa"/>
          </w:tcPr>
          <w:p w:rsidR="00D96A4F" w:rsidRPr="00623DA7" w:rsidRDefault="00D96A4F" w:rsidP="0058419C">
            <w:pPr>
              <w:rPr>
                <w:rFonts w:cs="Arial"/>
                <w:sz w:val="20"/>
                <w:szCs w:val="20"/>
              </w:rPr>
            </w:pPr>
          </w:p>
        </w:tc>
        <w:tc>
          <w:tcPr>
            <w:tcW w:w="2835" w:type="dxa"/>
          </w:tcPr>
          <w:p w:rsidR="00D96A4F" w:rsidRPr="00623DA7" w:rsidRDefault="00D96A4F" w:rsidP="0058419C">
            <w:pPr>
              <w:rPr>
                <w:rFonts w:cs="Arial"/>
                <w:sz w:val="20"/>
                <w:szCs w:val="20"/>
              </w:rPr>
            </w:pPr>
          </w:p>
        </w:tc>
      </w:tr>
      <w:tr w:rsidR="00D96A4F" w:rsidRPr="00623DA7" w:rsidTr="0058419C">
        <w:tc>
          <w:tcPr>
            <w:tcW w:w="1418" w:type="dxa"/>
            <w:vMerge/>
          </w:tcPr>
          <w:p w:rsidR="00D96A4F" w:rsidRPr="00623DA7" w:rsidRDefault="00D96A4F" w:rsidP="0058419C">
            <w:pPr>
              <w:rPr>
                <w:rFonts w:cs="Arial"/>
                <w:sz w:val="20"/>
                <w:szCs w:val="20"/>
              </w:rPr>
            </w:pPr>
          </w:p>
        </w:tc>
        <w:tc>
          <w:tcPr>
            <w:tcW w:w="5529" w:type="dxa"/>
          </w:tcPr>
          <w:p w:rsidR="00D96A4F" w:rsidRPr="00623DA7" w:rsidRDefault="00D96A4F" w:rsidP="0058419C">
            <w:pPr>
              <w:rPr>
                <w:rFonts w:cs="Arial"/>
                <w:sz w:val="20"/>
                <w:szCs w:val="20"/>
              </w:rPr>
            </w:pPr>
            <w:r w:rsidRPr="00623DA7">
              <w:rPr>
                <w:rFonts w:cs="Arial"/>
                <w:sz w:val="20"/>
                <w:szCs w:val="20"/>
              </w:rPr>
              <w:t>Did the core investigation team consist of more than one person?</w:t>
            </w:r>
          </w:p>
        </w:tc>
        <w:tc>
          <w:tcPr>
            <w:tcW w:w="1134" w:type="dxa"/>
          </w:tcPr>
          <w:p w:rsidR="00D96A4F" w:rsidRPr="00623DA7" w:rsidRDefault="00D96A4F" w:rsidP="0058419C">
            <w:pPr>
              <w:rPr>
                <w:rFonts w:cs="Arial"/>
                <w:sz w:val="20"/>
                <w:szCs w:val="20"/>
              </w:rPr>
            </w:pPr>
          </w:p>
        </w:tc>
        <w:tc>
          <w:tcPr>
            <w:tcW w:w="2835" w:type="dxa"/>
          </w:tcPr>
          <w:p w:rsidR="00D96A4F" w:rsidRPr="00623DA7" w:rsidRDefault="00D96A4F" w:rsidP="0058419C">
            <w:pPr>
              <w:rPr>
                <w:rFonts w:cs="Arial"/>
                <w:sz w:val="20"/>
                <w:szCs w:val="20"/>
              </w:rPr>
            </w:pPr>
          </w:p>
        </w:tc>
      </w:tr>
      <w:tr w:rsidR="00D96A4F" w:rsidRPr="00623DA7" w:rsidTr="0058419C">
        <w:tc>
          <w:tcPr>
            <w:tcW w:w="1418" w:type="dxa"/>
            <w:vMerge/>
            <w:tcBorders>
              <w:bottom w:val="double" w:sz="6" w:space="0" w:color="auto"/>
            </w:tcBorders>
          </w:tcPr>
          <w:p w:rsidR="00D96A4F" w:rsidRPr="00623DA7" w:rsidRDefault="00D96A4F" w:rsidP="0058419C">
            <w:pPr>
              <w:rPr>
                <w:rFonts w:cs="Arial"/>
                <w:sz w:val="20"/>
                <w:szCs w:val="20"/>
              </w:rPr>
            </w:pPr>
          </w:p>
        </w:tc>
        <w:tc>
          <w:tcPr>
            <w:tcW w:w="5529" w:type="dxa"/>
            <w:tcBorders>
              <w:bottom w:val="double" w:sz="6" w:space="0" w:color="auto"/>
            </w:tcBorders>
          </w:tcPr>
          <w:p w:rsidR="00D96A4F" w:rsidRPr="00623DA7" w:rsidRDefault="00D96A4F" w:rsidP="0058419C">
            <w:pPr>
              <w:rPr>
                <w:rFonts w:cs="Arial"/>
                <w:sz w:val="20"/>
                <w:szCs w:val="20"/>
              </w:rPr>
            </w:pPr>
            <w:r w:rsidRPr="00623DA7">
              <w:rPr>
                <w:rFonts w:cs="Arial"/>
                <w:sz w:val="20"/>
                <w:szCs w:val="20"/>
              </w:rPr>
              <w:t>Were national, standard NHS investigation guidance and process  used?</w:t>
            </w:r>
          </w:p>
        </w:tc>
        <w:tc>
          <w:tcPr>
            <w:tcW w:w="1134" w:type="dxa"/>
            <w:tcBorders>
              <w:bottom w:val="double" w:sz="6" w:space="0" w:color="auto"/>
            </w:tcBorders>
          </w:tcPr>
          <w:p w:rsidR="00D96A4F" w:rsidRPr="00623DA7" w:rsidRDefault="00D96A4F" w:rsidP="0058419C">
            <w:pPr>
              <w:rPr>
                <w:rFonts w:cs="Arial"/>
                <w:sz w:val="20"/>
                <w:szCs w:val="20"/>
              </w:rPr>
            </w:pPr>
          </w:p>
        </w:tc>
        <w:tc>
          <w:tcPr>
            <w:tcW w:w="2835" w:type="dxa"/>
            <w:tcBorders>
              <w:bottom w:val="double" w:sz="6" w:space="0" w:color="auto"/>
            </w:tcBorders>
          </w:tcPr>
          <w:p w:rsidR="00D96A4F" w:rsidRPr="00623DA7" w:rsidRDefault="00D96A4F" w:rsidP="0058419C">
            <w:pPr>
              <w:rPr>
                <w:rFonts w:cs="Arial"/>
                <w:sz w:val="20"/>
                <w:szCs w:val="20"/>
              </w:rPr>
            </w:pPr>
          </w:p>
        </w:tc>
      </w:tr>
      <w:tr w:rsidR="00D96A4F" w:rsidRPr="00623DA7" w:rsidTr="0058419C">
        <w:tc>
          <w:tcPr>
            <w:tcW w:w="1418" w:type="dxa"/>
            <w:vMerge w:val="restart"/>
            <w:tcBorders>
              <w:top w:val="double" w:sz="6" w:space="0" w:color="auto"/>
            </w:tcBorders>
          </w:tcPr>
          <w:p w:rsidR="00D96A4F" w:rsidRPr="00623DA7" w:rsidRDefault="00D96A4F" w:rsidP="0058419C">
            <w:pPr>
              <w:rPr>
                <w:rFonts w:cs="Arial"/>
                <w:sz w:val="20"/>
                <w:szCs w:val="20"/>
              </w:rPr>
            </w:pPr>
            <w:r w:rsidRPr="00623DA7">
              <w:rPr>
                <w:rFonts w:cs="Arial"/>
                <w:sz w:val="20"/>
                <w:szCs w:val="20"/>
              </w:rPr>
              <w:t>Gathering and mapping</w:t>
            </w:r>
          </w:p>
        </w:tc>
        <w:tc>
          <w:tcPr>
            <w:tcW w:w="5529" w:type="dxa"/>
            <w:tcBorders>
              <w:top w:val="double" w:sz="6" w:space="0" w:color="auto"/>
            </w:tcBorders>
          </w:tcPr>
          <w:p w:rsidR="00D96A4F" w:rsidRPr="00623DA7" w:rsidRDefault="00D96A4F" w:rsidP="00D96A4F">
            <w:pPr>
              <w:rPr>
                <w:rFonts w:cs="Arial"/>
                <w:sz w:val="20"/>
                <w:szCs w:val="20"/>
              </w:rPr>
            </w:pPr>
            <w:r w:rsidRPr="00623DA7">
              <w:rPr>
                <w:rFonts w:cs="Arial"/>
                <w:sz w:val="20"/>
                <w:szCs w:val="20"/>
              </w:rPr>
              <w:t xml:space="preserve">Was the appropriate evidence used (where it was available) i.e. patients notes/records, </w:t>
            </w:r>
            <w:r>
              <w:rPr>
                <w:rFonts w:cs="Arial"/>
                <w:sz w:val="20"/>
                <w:szCs w:val="20"/>
              </w:rPr>
              <w:t>written account</w:t>
            </w:r>
            <w:r w:rsidRPr="00623DA7">
              <w:rPr>
                <w:rFonts w:cs="Arial"/>
                <w:sz w:val="20"/>
                <w:szCs w:val="20"/>
              </w:rPr>
              <w:t>?</w:t>
            </w:r>
          </w:p>
        </w:tc>
        <w:tc>
          <w:tcPr>
            <w:tcW w:w="1134" w:type="dxa"/>
            <w:tcBorders>
              <w:top w:val="double" w:sz="6" w:space="0" w:color="auto"/>
            </w:tcBorders>
          </w:tcPr>
          <w:p w:rsidR="00D96A4F" w:rsidRPr="00623DA7" w:rsidRDefault="00D96A4F" w:rsidP="0058419C">
            <w:pPr>
              <w:rPr>
                <w:rFonts w:cs="Arial"/>
                <w:sz w:val="20"/>
                <w:szCs w:val="20"/>
              </w:rPr>
            </w:pPr>
          </w:p>
        </w:tc>
        <w:tc>
          <w:tcPr>
            <w:tcW w:w="2835" w:type="dxa"/>
            <w:tcBorders>
              <w:top w:val="double" w:sz="6" w:space="0" w:color="auto"/>
            </w:tcBorders>
          </w:tcPr>
          <w:p w:rsidR="00D96A4F" w:rsidRPr="00623DA7" w:rsidRDefault="00D96A4F" w:rsidP="0058419C">
            <w:pPr>
              <w:rPr>
                <w:rFonts w:cs="Arial"/>
                <w:sz w:val="20"/>
                <w:szCs w:val="20"/>
              </w:rPr>
            </w:pPr>
          </w:p>
        </w:tc>
      </w:tr>
      <w:tr w:rsidR="00D96A4F" w:rsidRPr="00623DA7" w:rsidTr="0058419C">
        <w:tc>
          <w:tcPr>
            <w:tcW w:w="1418" w:type="dxa"/>
            <w:vMerge/>
          </w:tcPr>
          <w:p w:rsidR="00D96A4F" w:rsidRPr="00623DA7" w:rsidRDefault="00D96A4F" w:rsidP="0058419C">
            <w:pPr>
              <w:rPr>
                <w:rFonts w:cs="Arial"/>
                <w:sz w:val="20"/>
                <w:szCs w:val="20"/>
              </w:rPr>
            </w:pPr>
          </w:p>
        </w:tc>
        <w:tc>
          <w:tcPr>
            <w:tcW w:w="5529" w:type="dxa"/>
          </w:tcPr>
          <w:p w:rsidR="00D96A4F" w:rsidRPr="00623DA7" w:rsidRDefault="00D96A4F" w:rsidP="00E6219A">
            <w:pPr>
              <w:rPr>
                <w:rFonts w:cs="Arial"/>
                <w:sz w:val="20"/>
                <w:szCs w:val="20"/>
              </w:rPr>
            </w:pPr>
            <w:r w:rsidRPr="00623DA7">
              <w:rPr>
                <w:rFonts w:cs="Arial"/>
                <w:sz w:val="20"/>
                <w:szCs w:val="20"/>
              </w:rPr>
              <w:t xml:space="preserve">Were interviews conducted? </w:t>
            </w:r>
          </w:p>
        </w:tc>
        <w:tc>
          <w:tcPr>
            <w:tcW w:w="1134" w:type="dxa"/>
          </w:tcPr>
          <w:p w:rsidR="00D96A4F" w:rsidRPr="00623DA7" w:rsidRDefault="00D96A4F" w:rsidP="0058419C">
            <w:pPr>
              <w:rPr>
                <w:rFonts w:cs="Arial"/>
                <w:sz w:val="20"/>
                <w:szCs w:val="20"/>
              </w:rPr>
            </w:pPr>
          </w:p>
        </w:tc>
        <w:tc>
          <w:tcPr>
            <w:tcW w:w="2835" w:type="dxa"/>
          </w:tcPr>
          <w:p w:rsidR="00D96A4F" w:rsidRPr="00623DA7" w:rsidRDefault="00D96A4F" w:rsidP="0058419C">
            <w:pPr>
              <w:rPr>
                <w:rFonts w:cs="Arial"/>
                <w:sz w:val="20"/>
                <w:szCs w:val="20"/>
              </w:rPr>
            </w:pPr>
          </w:p>
          <w:p w:rsidR="00D96A4F" w:rsidRPr="00623DA7" w:rsidRDefault="00D96A4F" w:rsidP="0058419C">
            <w:pPr>
              <w:rPr>
                <w:rFonts w:cs="Arial"/>
                <w:sz w:val="20"/>
                <w:szCs w:val="20"/>
              </w:rPr>
            </w:pPr>
          </w:p>
        </w:tc>
      </w:tr>
      <w:tr w:rsidR="00D96A4F" w:rsidRPr="00623DA7" w:rsidTr="0058419C">
        <w:tc>
          <w:tcPr>
            <w:tcW w:w="1418" w:type="dxa"/>
            <w:vMerge/>
          </w:tcPr>
          <w:p w:rsidR="00D96A4F" w:rsidRPr="00623DA7" w:rsidRDefault="00D96A4F" w:rsidP="0058419C">
            <w:pPr>
              <w:rPr>
                <w:rFonts w:cs="Arial"/>
                <w:sz w:val="20"/>
                <w:szCs w:val="20"/>
              </w:rPr>
            </w:pPr>
          </w:p>
        </w:tc>
        <w:tc>
          <w:tcPr>
            <w:tcW w:w="5529" w:type="dxa"/>
          </w:tcPr>
          <w:p w:rsidR="00D96A4F" w:rsidRPr="00623DA7" w:rsidRDefault="00D96A4F" w:rsidP="0058419C">
            <w:pPr>
              <w:rPr>
                <w:rFonts w:cs="Arial"/>
                <w:sz w:val="20"/>
                <w:szCs w:val="20"/>
              </w:rPr>
            </w:pPr>
            <w:r w:rsidRPr="00623DA7">
              <w:rPr>
                <w:rFonts w:cs="Arial"/>
                <w:sz w:val="20"/>
                <w:szCs w:val="20"/>
              </w:rPr>
              <w:t>Is there evidence that those with an interest were involved (</w:t>
            </w:r>
            <w:r w:rsidRPr="00623DA7">
              <w:rPr>
                <w:rFonts w:cs="Arial"/>
                <w:i/>
                <w:sz w:val="20"/>
                <w:szCs w:val="20"/>
              </w:rPr>
              <w:t>making use of briefings, de-briefings, draft reports etc</w:t>
            </w:r>
            <w:r w:rsidRPr="00623DA7">
              <w:rPr>
                <w:rFonts w:cs="Arial"/>
                <w:sz w:val="20"/>
                <w:szCs w:val="20"/>
              </w:rPr>
              <w:t>.)?</w:t>
            </w:r>
          </w:p>
        </w:tc>
        <w:tc>
          <w:tcPr>
            <w:tcW w:w="1134" w:type="dxa"/>
          </w:tcPr>
          <w:p w:rsidR="00D96A4F" w:rsidRPr="00623DA7" w:rsidRDefault="00D96A4F" w:rsidP="0058419C">
            <w:pPr>
              <w:rPr>
                <w:rFonts w:cs="Arial"/>
                <w:sz w:val="20"/>
                <w:szCs w:val="20"/>
              </w:rPr>
            </w:pPr>
          </w:p>
        </w:tc>
        <w:tc>
          <w:tcPr>
            <w:tcW w:w="2835" w:type="dxa"/>
          </w:tcPr>
          <w:p w:rsidR="00D96A4F" w:rsidRPr="00623DA7" w:rsidRDefault="00D96A4F" w:rsidP="0058419C">
            <w:pPr>
              <w:rPr>
                <w:rFonts w:cs="Arial"/>
                <w:sz w:val="20"/>
                <w:szCs w:val="20"/>
              </w:rPr>
            </w:pPr>
          </w:p>
        </w:tc>
      </w:tr>
      <w:tr w:rsidR="00D96A4F" w:rsidRPr="00623DA7" w:rsidTr="0058419C">
        <w:tc>
          <w:tcPr>
            <w:tcW w:w="1418" w:type="dxa"/>
            <w:vMerge/>
          </w:tcPr>
          <w:p w:rsidR="00D96A4F" w:rsidRPr="00623DA7" w:rsidRDefault="00D96A4F" w:rsidP="0058419C">
            <w:pPr>
              <w:rPr>
                <w:rFonts w:cs="Arial"/>
                <w:sz w:val="20"/>
                <w:szCs w:val="20"/>
              </w:rPr>
            </w:pPr>
          </w:p>
        </w:tc>
        <w:tc>
          <w:tcPr>
            <w:tcW w:w="5529" w:type="dxa"/>
          </w:tcPr>
          <w:p w:rsidR="00D96A4F" w:rsidRPr="00623DA7" w:rsidRDefault="00D96A4F" w:rsidP="0058419C">
            <w:pPr>
              <w:rPr>
                <w:rFonts w:cs="Arial"/>
                <w:sz w:val="20"/>
                <w:szCs w:val="20"/>
              </w:rPr>
            </w:pPr>
            <w:r w:rsidRPr="00623DA7">
              <w:rPr>
                <w:rFonts w:cs="Arial"/>
                <w:sz w:val="20"/>
                <w:szCs w:val="20"/>
              </w:rPr>
              <w:t>Is there evidence that those affected (</w:t>
            </w:r>
            <w:r w:rsidRPr="00623DA7">
              <w:rPr>
                <w:rFonts w:cs="Arial"/>
                <w:i/>
                <w:sz w:val="20"/>
                <w:szCs w:val="20"/>
              </w:rPr>
              <w:t>including patients/staff/ victims/ perpetrators and their families</w:t>
            </w:r>
            <w:r w:rsidRPr="00623DA7">
              <w:rPr>
                <w:rFonts w:cs="Arial"/>
                <w:sz w:val="20"/>
                <w:szCs w:val="20"/>
              </w:rPr>
              <w:t>) were involved and supported appropriately?</w:t>
            </w:r>
          </w:p>
        </w:tc>
        <w:tc>
          <w:tcPr>
            <w:tcW w:w="1134" w:type="dxa"/>
          </w:tcPr>
          <w:p w:rsidR="00D96A4F" w:rsidRPr="00623DA7" w:rsidRDefault="00D96A4F" w:rsidP="0058419C">
            <w:pPr>
              <w:rPr>
                <w:rFonts w:cs="Arial"/>
                <w:sz w:val="20"/>
                <w:szCs w:val="20"/>
              </w:rPr>
            </w:pPr>
          </w:p>
        </w:tc>
        <w:tc>
          <w:tcPr>
            <w:tcW w:w="2835" w:type="dxa"/>
          </w:tcPr>
          <w:p w:rsidR="00D96A4F" w:rsidRPr="00623DA7" w:rsidRDefault="00D96A4F" w:rsidP="0058419C">
            <w:pPr>
              <w:rPr>
                <w:rFonts w:cs="Arial"/>
                <w:sz w:val="20"/>
                <w:szCs w:val="20"/>
              </w:rPr>
            </w:pPr>
          </w:p>
        </w:tc>
      </w:tr>
      <w:tr w:rsidR="00D96A4F" w:rsidRPr="00623DA7" w:rsidTr="0058419C">
        <w:tc>
          <w:tcPr>
            <w:tcW w:w="1418" w:type="dxa"/>
            <w:vMerge/>
          </w:tcPr>
          <w:p w:rsidR="00D96A4F" w:rsidRPr="00623DA7" w:rsidRDefault="00D96A4F" w:rsidP="0058419C">
            <w:pPr>
              <w:rPr>
                <w:rFonts w:cs="Arial"/>
                <w:sz w:val="20"/>
                <w:szCs w:val="20"/>
              </w:rPr>
            </w:pPr>
          </w:p>
        </w:tc>
        <w:tc>
          <w:tcPr>
            <w:tcW w:w="5529" w:type="dxa"/>
          </w:tcPr>
          <w:p w:rsidR="00D96A4F" w:rsidRPr="00623DA7" w:rsidRDefault="00D96A4F" w:rsidP="0058419C">
            <w:pPr>
              <w:rPr>
                <w:rFonts w:cs="Arial"/>
                <w:sz w:val="20"/>
                <w:szCs w:val="20"/>
              </w:rPr>
            </w:pPr>
            <w:r w:rsidRPr="00623DA7">
              <w:rPr>
                <w:rFonts w:cs="Arial"/>
                <w:sz w:val="20"/>
                <w:szCs w:val="20"/>
              </w:rPr>
              <w:t xml:space="preserve">Is a timeline of events produced? </w:t>
            </w:r>
          </w:p>
        </w:tc>
        <w:tc>
          <w:tcPr>
            <w:tcW w:w="1134" w:type="dxa"/>
          </w:tcPr>
          <w:p w:rsidR="00D96A4F" w:rsidRPr="00623DA7" w:rsidRDefault="00D96A4F" w:rsidP="0058419C">
            <w:pPr>
              <w:rPr>
                <w:rFonts w:cs="Arial"/>
                <w:sz w:val="20"/>
                <w:szCs w:val="20"/>
              </w:rPr>
            </w:pPr>
          </w:p>
        </w:tc>
        <w:tc>
          <w:tcPr>
            <w:tcW w:w="2835" w:type="dxa"/>
          </w:tcPr>
          <w:p w:rsidR="00D96A4F" w:rsidRPr="00623DA7" w:rsidRDefault="00D96A4F" w:rsidP="0058419C">
            <w:pPr>
              <w:rPr>
                <w:rFonts w:cs="Arial"/>
                <w:sz w:val="20"/>
                <w:szCs w:val="20"/>
              </w:rPr>
            </w:pPr>
          </w:p>
          <w:p w:rsidR="00D96A4F" w:rsidRPr="00623DA7" w:rsidRDefault="00D96A4F" w:rsidP="0058419C">
            <w:pPr>
              <w:rPr>
                <w:rFonts w:cs="Arial"/>
                <w:sz w:val="20"/>
                <w:szCs w:val="20"/>
              </w:rPr>
            </w:pPr>
          </w:p>
        </w:tc>
      </w:tr>
      <w:tr w:rsidR="00D96A4F" w:rsidRPr="00623DA7" w:rsidTr="0058419C">
        <w:tc>
          <w:tcPr>
            <w:tcW w:w="1418" w:type="dxa"/>
            <w:vMerge/>
          </w:tcPr>
          <w:p w:rsidR="00D96A4F" w:rsidRPr="00623DA7" w:rsidRDefault="00D96A4F" w:rsidP="0058419C">
            <w:pPr>
              <w:rPr>
                <w:rFonts w:cs="Arial"/>
                <w:sz w:val="20"/>
                <w:szCs w:val="20"/>
              </w:rPr>
            </w:pPr>
          </w:p>
        </w:tc>
        <w:tc>
          <w:tcPr>
            <w:tcW w:w="5529" w:type="dxa"/>
          </w:tcPr>
          <w:p w:rsidR="00D96A4F" w:rsidRPr="00623DA7" w:rsidRDefault="00D96A4F" w:rsidP="0058419C">
            <w:pPr>
              <w:rPr>
                <w:rFonts w:cs="Arial"/>
                <w:sz w:val="20"/>
                <w:szCs w:val="20"/>
              </w:rPr>
            </w:pPr>
            <w:r w:rsidRPr="00623DA7">
              <w:rPr>
                <w:rFonts w:cs="Arial"/>
                <w:sz w:val="20"/>
                <w:szCs w:val="20"/>
              </w:rPr>
              <w:t>Are good practice guidance and protocols referenced to determine what should have happened?</w:t>
            </w:r>
          </w:p>
        </w:tc>
        <w:tc>
          <w:tcPr>
            <w:tcW w:w="1134" w:type="dxa"/>
          </w:tcPr>
          <w:p w:rsidR="00D96A4F" w:rsidRPr="00623DA7" w:rsidRDefault="00D96A4F" w:rsidP="0058419C">
            <w:pPr>
              <w:rPr>
                <w:rFonts w:cs="Arial"/>
                <w:sz w:val="20"/>
                <w:szCs w:val="20"/>
              </w:rPr>
            </w:pPr>
          </w:p>
        </w:tc>
        <w:tc>
          <w:tcPr>
            <w:tcW w:w="2835" w:type="dxa"/>
          </w:tcPr>
          <w:p w:rsidR="00D96A4F" w:rsidRPr="00623DA7" w:rsidRDefault="00D96A4F" w:rsidP="0058419C">
            <w:pPr>
              <w:rPr>
                <w:rFonts w:cs="Arial"/>
                <w:sz w:val="20"/>
                <w:szCs w:val="20"/>
              </w:rPr>
            </w:pPr>
          </w:p>
        </w:tc>
      </w:tr>
      <w:tr w:rsidR="00D96A4F" w:rsidRPr="00623DA7" w:rsidTr="0058419C">
        <w:tc>
          <w:tcPr>
            <w:tcW w:w="1418" w:type="dxa"/>
            <w:vMerge/>
          </w:tcPr>
          <w:p w:rsidR="00D96A4F" w:rsidRPr="00623DA7" w:rsidRDefault="00D96A4F" w:rsidP="0058419C">
            <w:pPr>
              <w:rPr>
                <w:rFonts w:cs="Arial"/>
                <w:sz w:val="20"/>
                <w:szCs w:val="20"/>
              </w:rPr>
            </w:pPr>
          </w:p>
        </w:tc>
        <w:tc>
          <w:tcPr>
            <w:tcW w:w="5529" w:type="dxa"/>
          </w:tcPr>
          <w:p w:rsidR="00D96A4F" w:rsidRPr="00623DA7" w:rsidRDefault="00D96A4F" w:rsidP="0058419C">
            <w:pPr>
              <w:rPr>
                <w:rFonts w:cs="Arial"/>
                <w:sz w:val="20"/>
                <w:szCs w:val="20"/>
              </w:rPr>
            </w:pPr>
            <w:r w:rsidRPr="00623DA7">
              <w:rPr>
                <w:rFonts w:cs="Arial"/>
                <w:sz w:val="20"/>
                <w:szCs w:val="20"/>
              </w:rPr>
              <w:t xml:space="preserve">Are care and service delivery problems identified? </w:t>
            </w:r>
            <w:r w:rsidRPr="00623DA7">
              <w:rPr>
                <w:rFonts w:cs="Arial"/>
                <w:i/>
                <w:sz w:val="20"/>
                <w:szCs w:val="20"/>
              </w:rPr>
              <w:t>(This includes what happened that shouldn’t have, and what didn’t happen that should have. There should be a mix of care (human error) and service (organisational) delivery problems)</w:t>
            </w:r>
          </w:p>
        </w:tc>
        <w:tc>
          <w:tcPr>
            <w:tcW w:w="1134" w:type="dxa"/>
          </w:tcPr>
          <w:p w:rsidR="00D96A4F" w:rsidRPr="00623DA7" w:rsidRDefault="00D96A4F" w:rsidP="0058419C">
            <w:pPr>
              <w:rPr>
                <w:rFonts w:cs="Arial"/>
                <w:sz w:val="20"/>
                <w:szCs w:val="20"/>
              </w:rPr>
            </w:pPr>
          </w:p>
        </w:tc>
        <w:tc>
          <w:tcPr>
            <w:tcW w:w="2835" w:type="dxa"/>
          </w:tcPr>
          <w:p w:rsidR="00D96A4F" w:rsidRPr="00623DA7" w:rsidRDefault="00D96A4F" w:rsidP="0058419C">
            <w:pPr>
              <w:rPr>
                <w:rFonts w:cs="Arial"/>
                <w:sz w:val="20"/>
                <w:szCs w:val="20"/>
              </w:rPr>
            </w:pPr>
          </w:p>
        </w:tc>
      </w:tr>
      <w:tr w:rsidR="00D96A4F" w:rsidRPr="00623DA7" w:rsidTr="0058419C">
        <w:tc>
          <w:tcPr>
            <w:tcW w:w="1418" w:type="dxa"/>
            <w:vMerge/>
            <w:tcBorders>
              <w:bottom w:val="double" w:sz="6" w:space="0" w:color="auto"/>
            </w:tcBorders>
          </w:tcPr>
          <w:p w:rsidR="00D96A4F" w:rsidRPr="00623DA7" w:rsidRDefault="00D96A4F" w:rsidP="0058419C">
            <w:pPr>
              <w:rPr>
                <w:rFonts w:cs="Arial"/>
                <w:sz w:val="20"/>
                <w:szCs w:val="20"/>
              </w:rPr>
            </w:pPr>
          </w:p>
        </w:tc>
        <w:tc>
          <w:tcPr>
            <w:tcW w:w="5529" w:type="dxa"/>
            <w:tcBorders>
              <w:bottom w:val="double" w:sz="6" w:space="0" w:color="auto"/>
            </w:tcBorders>
          </w:tcPr>
          <w:p w:rsidR="00D96A4F" w:rsidRPr="00623DA7" w:rsidRDefault="000A74CD" w:rsidP="000A74CD">
            <w:pPr>
              <w:rPr>
                <w:rFonts w:cs="Arial"/>
                <w:sz w:val="20"/>
                <w:szCs w:val="20"/>
              </w:rPr>
            </w:pPr>
            <w:r>
              <w:rPr>
                <w:rFonts w:cs="Arial"/>
                <w:sz w:val="20"/>
                <w:szCs w:val="20"/>
              </w:rPr>
              <w:t>Is it clear that</w:t>
            </w:r>
            <w:r w:rsidR="00D96A4F" w:rsidRPr="00623DA7">
              <w:rPr>
                <w:rFonts w:cs="Arial"/>
                <w:sz w:val="20"/>
                <w:szCs w:val="20"/>
              </w:rPr>
              <w:t xml:space="preserve"> the individuals</w:t>
            </w:r>
            <w:r>
              <w:rPr>
                <w:rFonts w:cs="Arial"/>
                <w:sz w:val="20"/>
                <w:szCs w:val="20"/>
              </w:rPr>
              <w:t xml:space="preserve"> have</w:t>
            </w:r>
            <w:r w:rsidR="00D96A4F" w:rsidRPr="00623DA7">
              <w:rPr>
                <w:rFonts w:cs="Arial"/>
                <w:sz w:val="20"/>
                <w:szCs w:val="20"/>
              </w:rPr>
              <w:t xml:space="preserve"> </w:t>
            </w:r>
            <w:r w:rsidRPr="00623DA7">
              <w:rPr>
                <w:rFonts w:cs="Arial"/>
                <w:sz w:val="20"/>
                <w:szCs w:val="20"/>
              </w:rPr>
              <w:t>not</w:t>
            </w:r>
            <w:r>
              <w:rPr>
                <w:rFonts w:cs="Arial"/>
                <w:sz w:val="20"/>
                <w:szCs w:val="20"/>
              </w:rPr>
              <w:t xml:space="preserve"> been </w:t>
            </w:r>
            <w:r w:rsidR="00D96A4F" w:rsidRPr="00623DA7">
              <w:rPr>
                <w:rFonts w:cs="Arial"/>
                <w:sz w:val="20"/>
                <w:szCs w:val="20"/>
              </w:rPr>
              <w:t>unfairly blamed? (</w:t>
            </w:r>
            <w:r w:rsidR="00D96A4F" w:rsidRPr="00623DA7">
              <w:rPr>
                <w:rFonts w:cs="Arial"/>
                <w:i/>
                <w:sz w:val="20"/>
                <w:szCs w:val="20"/>
              </w:rPr>
              <w:t>Disciplinary action is only appropriate for acts of wilful harm or wilful neglect</w:t>
            </w:r>
            <w:r w:rsidR="00D96A4F" w:rsidRPr="00623DA7">
              <w:rPr>
                <w:rFonts w:cs="Arial"/>
                <w:sz w:val="20"/>
                <w:szCs w:val="20"/>
              </w:rPr>
              <w:t>)</w:t>
            </w:r>
          </w:p>
        </w:tc>
        <w:tc>
          <w:tcPr>
            <w:tcW w:w="1134" w:type="dxa"/>
            <w:tcBorders>
              <w:bottom w:val="double" w:sz="6" w:space="0" w:color="auto"/>
            </w:tcBorders>
          </w:tcPr>
          <w:p w:rsidR="00D96A4F" w:rsidRPr="00623DA7" w:rsidRDefault="00D96A4F" w:rsidP="0058419C">
            <w:pPr>
              <w:rPr>
                <w:rFonts w:cs="Arial"/>
                <w:sz w:val="20"/>
                <w:szCs w:val="20"/>
              </w:rPr>
            </w:pPr>
          </w:p>
        </w:tc>
        <w:tc>
          <w:tcPr>
            <w:tcW w:w="2835" w:type="dxa"/>
            <w:tcBorders>
              <w:bottom w:val="double" w:sz="6" w:space="0" w:color="auto"/>
            </w:tcBorders>
          </w:tcPr>
          <w:p w:rsidR="00D96A4F" w:rsidRPr="00623DA7" w:rsidRDefault="00D96A4F" w:rsidP="0058419C">
            <w:pPr>
              <w:rPr>
                <w:rFonts w:cs="Arial"/>
                <w:sz w:val="20"/>
                <w:szCs w:val="20"/>
              </w:rPr>
            </w:pPr>
          </w:p>
        </w:tc>
      </w:tr>
      <w:tr w:rsidR="00D96A4F" w:rsidRPr="00623DA7" w:rsidTr="0058419C">
        <w:tc>
          <w:tcPr>
            <w:tcW w:w="1418" w:type="dxa"/>
            <w:vMerge w:val="restart"/>
            <w:tcBorders>
              <w:top w:val="double" w:sz="6" w:space="0" w:color="auto"/>
            </w:tcBorders>
          </w:tcPr>
          <w:p w:rsidR="00D96A4F" w:rsidRPr="00623DA7" w:rsidRDefault="00D96A4F" w:rsidP="0058419C">
            <w:pPr>
              <w:rPr>
                <w:rFonts w:cs="Arial"/>
                <w:sz w:val="20"/>
                <w:szCs w:val="20"/>
              </w:rPr>
            </w:pPr>
            <w:r w:rsidRPr="00623DA7">
              <w:rPr>
                <w:rFonts w:cs="Arial"/>
                <w:sz w:val="20"/>
                <w:szCs w:val="20"/>
              </w:rPr>
              <w:t>Analysing information</w:t>
            </w:r>
          </w:p>
        </w:tc>
        <w:tc>
          <w:tcPr>
            <w:tcW w:w="5529" w:type="dxa"/>
            <w:tcBorders>
              <w:top w:val="double" w:sz="6" w:space="0" w:color="auto"/>
            </w:tcBorders>
          </w:tcPr>
          <w:p w:rsidR="00D96A4F" w:rsidRPr="00623DA7" w:rsidRDefault="00D96A4F" w:rsidP="0058419C">
            <w:pPr>
              <w:rPr>
                <w:rFonts w:cs="Arial"/>
                <w:sz w:val="20"/>
                <w:szCs w:val="20"/>
              </w:rPr>
            </w:pPr>
            <w:r w:rsidRPr="00623DA7">
              <w:rPr>
                <w:rFonts w:cs="Arial"/>
                <w:sz w:val="20"/>
                <w:szCs w:val="20"/>
              </w:rPr>
              <w:t>Is there evidence that the contributory factors for each problem have been explored?</w:t>
            </w:r>
          </w:p>
        </w:tc>
        <w:tc>
          <w:tcPr>
            <w:tcW w:w="1134" w:type="dxa"/>
            <w:tcBorders>
              <w:top w:val="double" w:sz="6" w:space="0" w:color="auto"/>
            </w:tcBorders>
          </w:tcPr>
          <w:p w:rsidR="00D96A4F" w:rsidRPr="00623DA7" w:rsidRDefault="00D96A4F" w:rsidP="0058419C">
            <w:pPr>
              <w:rPr>
                <w:rFonts w:cs="Arial"/>
                <w:sz w:val="20"/>
                <w:szCs w:val="20"/>
              </w:rPr>
            </w:pPr>
          </w:p>
        </w:tc>
        <w:tc>
          <w:tcPr>
            <w:tcW w:w="2835" w:type="dxa"/>
            <w:tcBorders>
              <w:top w:val="double" w:sz="6" w:space="0" w:color="auto"/>
            </w:tcBorders>
          </w:tcPr>
          <w:p w:rsidR="00D96A4F" w:rsidRPr="00623DA7" w:rsidRDefault="00D96A4F" w:rsidP="0058419C">
            <w:pPr>
              <w:rPr>
                <w:rFonts w:cs="Arial"/>
                <w:sz w:val="20"/>
                <w:szCs w:val="20"/>
              </w:rPr>
            </w:pPr>
          </w:p>
        </w:tc>
      </w:tr>
      <w:tr w:rsidR="00D96A4F" w:rsidRPr="00623DA7" w:rsidTr="0058419C">
        <w:tc>
          <w:tcPr>
            <w:tcW w:w="1418" w:type="dxa"/>
            <w:vMerge/>
            <w:tcBorders>
              <w:bottom w:val="double" w:sz="6" w:space="0" w:color="auto"/>
            </w:tcBorders>
          </w:tcPr>
          <w:p w:rsidR="00D96A4F" w:rsidRPr="00623DA7" w:rsidRDefault="00D96A4F" w:rsidP="0058419C">
            <w:pPr>
              <w:rPr>
                <w:rFonts w:cs="Arial"/>
                <w:sz w:val="20"/>
                <w:szCs w:val="20"/>
              </w:rPr>
            </w:pPr>
          </w:p>
        </w:tc>
        <w:tc>
          <w:tcPr>
            <w:tcW w:w="5529" w:type="dxa"/>
            <w:tcBorders>
              <w:bottom w:val="double" w:sz="6" w:space="0" w:color="auto"/>
            </w:tcBorders>
          </w:tcPr>
          <w:p w:rsidR="00D96A4F" w:rsidRPr="00623DA7" w:rsidRDefault="00D96A4F" w:rsidP="0058419C">
            <w:pPr>
              <w:rPr>
                <w:rFonts w:cs="Arial"/>
                <w:sz w:val="20"/>
                <w:szCs w:val="20"/>
              </w:rPr>
            </w:pPr>
            <w:r w:rsidRPr="00623DA7">
              <w:rPr>
                <w:rFonts w:cs="Arial"/>
                <w:sz w:val="20"/>
                <w:szCs w:val="20"/>
              </w:rPr>
              <w:t>Is there evidence that the most fundamental issues/ or root causes have been considered?</w:t>
            </w:r>
          </w:p>
        </w:tc>
        <w:tc>
          <w:tcPr>
            <w:tcW w:w="1134" w:type="dxa"/>
            <w:tcBorders>
              <w:bottom w:val="double" w:sz="6" w:space="0" w:color="auto"/>
            </w:tcBorders>
          </w:tcPr>
          <w:p w:rsidR="00D96A4F" w:rsidRPr="00623DA7" w:rsidRDefault="00D96A4F" w:rsidP="0058419C">
            <w:pPr>
              <w:rPr>
                <w:rFonts w:cs="Arial"/>
                <w:sz w:val="20"/>
                <w:szCs w:val="20"/>
              </w:rPr>
            </w:pPr>
          </w:p>
        </w:tc>
        <w:tc>
          <w:tcPr>
            <w:tcW w:w="2835" w:type="dxa"/>
            <w:tcBorders>
              <w:bottom w:val="double" w:sz="6" w:space="0" w:color="auto"/>
            </w:tcBorders>
          </w:tcPr>
          <w:p w:rsidR="00D96A4F" w:rsidRPr="00623DA7" w:rsidRDefault="00D96A4F" w:rsidP="0058419C">
            <w:pPr>
              <w:rPr>
                <w:rFonts w:cs="Arial"/>
                <w:sz w:val="20"/>
                <w:szCs w:val="20"/>
              </w:rPr>
            </w:pPr>
          </w:p>
        </w:tc>
      </w:tr>
      <w:tr w:rsidR="00D96A4F" w:rsidRPr="00623DA7" w:rsidTr="0058419C">
        <w:tc>
          <w:tcPr>
            <w:tcW w:w="1418" w:type="dxa"/>
            <w:tcBorders>
              <w:top w:val="double" w:sz="6" w:space="0" w:color="auto"/>
              <w:bottom w:val="double" w:sz="6" w:space="0" w:color="auto"/>
            </w:tcBorders>
          </w:tcPr>
          <w:p w:rsidR="00D96A4F" w:rsidRPr="00623DA7" w:rsidRDefault="00D96A4F" w:rsidP="0058419C">
            <w:pPr>
              <w:rPr>
                <w:rFonts w:cs="Arial"/>
                <w:sz w:val="20"/>
                <w:szCs w:val="20"/>
              </w:rPr>
            </w:pPr>
            <w:r w:rsidRPr="00623DA7">
              <w:rPr>
                <w:rFonts w:cs="Arial"/>
                <w:sz w:val="20"/>
                <w:szCs w:val="20"/>
              </w:rPr>
              <w:t xml:space="preserve">Generating solutions </w:t>
            </w:r>
          </w:p>
        </w:tc>
        <w:tc>
          <w:tcPr>
            <w:tcW w:w="5529" w:type="dxa"/>
            <w:tcBorders>
              <w:top w:val="double" w:sz="6" w:space="0" w:color="auto"/>
              <w:bottom w:val="double" w:sz="6" w:space="0" w:color="auto"/>
            </w:tcBorders>
          </w:tcPr>
          <w:p w:rsidR="00D96A4F" w:rsidRPr="00623DA7" w:rsidRDefault="00D96A4F" w:rsidP="0058419C">
            <w:pPr>
              <w:rPr>
                <w:rFonts w:cs="Arial"/>
                <w:sz w:val="20"/>
                <w:szCs w:val="20"/>
              </w:rPr>
            </w:pPr>
            <w:r w:rsidRPr="00623DA7">
              <w:rPr>
                <w:rFonts w:cs="Arial"/>
                <w:sz w:val="20"/>
                <w:szCs w:val="20"/>
              </w:rPr>
              <w:t>Have strong (effective) and targeted recommendations and solutions (targeted towards root causes) been developed? Are actions assigned appropriately? Are the appropriate members i.e. those with budgetary responsibility involved in action plan development?</w:t>
            </w:r>
            <w:r>
              <w:rPr>
                <w:rFonts w:cs="Arial"/>
                <w:sz w:val="20"/>
                <w:szCs w:val="20"/>
              </w:rPr>
              <w:t xml:space="preserve"> Has an options appraisal been undertaken before final recommendation made?</w:t>
            </w:r>
          </w:p>
        </w:tc>
        <w:tc>
          <w:tcPr>
            <w:tcW w:w="1134" w:type="dxa"/>
            <w:tcBorders>
              <w:top w:val="double" w:sz="6" w:space="0" w:color="auto"/>
              <w:bottom w:val="double" w:sz="6" w:space="0" w:color="auto"/>
            </w:tcBorders>
          </w:tcPr>
          <w:p w:rsidR="00D96A4F" w:rsidRPr="00623DA7" w:rsidRDefault="00D96A4F" w:rsidP="0058419C">
            <w:pPr>
              <w:rPr>
                <w:rFonts w:cs="Arial"/>
                <w:sz w:val="20"/>
                <w:szCs w:val="20"/>
              </w:rPr>
            </w:pPr>
          </w:p>
        </w:tc>
        <w:tc>
          <w:tcPr>
            <w:tcW w:w="2835" w:type="dxa"/>
            <w:tcBorders>
              <w:top w:val="double" w:sz="6" w:space="0" w:color="auto"/>
              <w:bottom w:val="double" w:sz="6" w:space="0" w:color="auto"/>
            </w:tcBorders>
          </w:tcPr>
          <w:p w:rsidR="00D96A4F" w:rsidRPr="00623DA7" w:rsidRDefault="00D96A4F" w:rsidP="0058419C">
            <w:pPr>
              <w:rPr>
                <w:rFonts w:cs="Arial"/>
                <w:sz w:val="20"/>
                <w:szCs w:val="20"/>
              </w:rPr>
            </w:pPr>
          </w:p>
        </w:tc>
      </w:tr>
      <w:tr w:rsidR="00D96A4F" w:rsidRPr="00623DA7" w:rsidTr="0058419C">
        <w:tc>
          <w:tcPr>
            <w:tcW w:w="1418" w:type="dxa"/>
            <w:tcBorders>
              <w:top w:val="double" w:sz="6" w:space="0" w:color="auto"/>
              <w:bottom w:val="double" w:sz="6" w:space="0" w:color="auto"/>
            </w:tcBorders>
          </w:tcPr>
          <w:p w:rsidR="00D96A4F" w:rsidRPr="00623DA7" w:rsidRDefault="00D96A4F" w:rsidP="0058419C">
            <w:pPr>
              <w:jc w:val="center"/>
              <w:rPr>
                <w:rFonts w:cs="Arial"/>
                <w:sz w:val="20"/>
                <w:szCs w:val="20"/>
              </w:rPr>
            </w:pPr>
            <w:r>
              <w:rPr>
                <w:rFonts w:cs="Arial"/>
                <w:sz w:val="20"/>
                <w:szCs w:val="20"/>
              </w:rPr>
              <w:t>Throughout</w:t>
            </w:r>
          </w:p>
        </w:tc>
        <w:tc>
          <w:tcPr>
            <w:tcW w:w="5529" w:type="dxa"/>
            <w:tcBorders>
              <w:top w:val="double" w:sz="6" w:space="0" w:color="auto"/>
              <w:bottom w:val="double" w:sz="6" w:space="0" w:color="auto"/>
            </w:tcBorders>
          </w:tcPr>
          <w:p w:rsidR="00D96A4F" w:rsidRPr="00623DA7" w:rsidRDefault="00D96A4F" w:rsidP="0058419C">
            <w:pPr>
              <w:rPr>
                <w:rFonts w:cs="Arial"/>
                <w:sz w:val="20"/>
                <w:szCs w:val="20"/>
              </w:rPr>
            </w:pPr>
            <w:r>
              <w:rPr>
                <w:rFonts w:cs="Arial"/>
                <w:sz w:val="20"/>
                <w:szCs w:val="20"/>
              </w:rPr>
              <w:t>Is there evidence that those affected have been appropriately involved and supported?</w:t>
            </w:r>
          </w:p>
        </w:tc>
        <w:tc>
          <w:tcPr>
            <w:tcW w:w="1134" w:type="dxa"/>
            <w:tcBorders>
              <w:top w:val="double" w:sz="6" w:space="0" w:color="auto"/>
              <w:bottom w:val="double" w:sz="6" w:space="0" w:color="auto"/>
            </w:tcBorders>
          </w:tcPr>
          <w:p w:rsidR="00D96A4F" w:rsidRPr="00623DA7" w:rsidRDefault="00D96A4F" w:rsidP="0058419C">
            <w:pPr>
              <w:rPr>
                <w:rFonts w:cs="Arial"/>
                <w:sz w:val="20"/>
                <w:szCs w:val="20"/>
              </w:rPr>
            </w:pPr>
          </w:p>
        </w:tc>
        <w:tc>
          <w:tcPr>
            <w:tcW w:w="2835" w:type="dxa"/>
            <w:tcBorders>
              <w:top w:val="double" w:sz="6" w:space="0" w:color="auto"/>
              <w:bottom w:val="double" w:sz="6" w:space="0" w:color="auto"/>
            </w:tcBorders>
          </w:tcPr>
          <w:p w:rsidR="00D96A4F" w:rsidRPr="00623DA7" w:rsidRDefault="00D96A4F" w:rsidP="0058419C">
            <w:pPr>
              <w:rPr>
                <w:rFonts w:cs="Arial"/>
                <w:sz w:val="20"/>
                <w:szCs w:val="20"/>
              </w:rPr>
            </w:pPr>
          </w:p>
        </w:tc>
      </w:tr>
      <w:tr w:rsidR="00D96A4F" w:rsidRPr="00623DA7" w:rsidTr="0058419C">
        <w:tc>
          <w:tcPr>
            <w:tcW w:w="1418" w:type="dxa"/>
            <w:tcBorders>
              <w:top w:val="double" w:sz="6" w:space="0" w:color="auto"/>
              <w:bottom w:val="double" w:sz="6" w:space="0" w:color="auto"/>
            </w:tcBorders>
          </w:tcPr>
          <w:p w:rsidR="00D96A4F" w:rsidRPr="00623DA7" w:rsidRDefault="00D96A4F" w:rsidP="0058419C">
            <w:pPr>
              <w:rPr>
                <w:rFonts w:cs="Arial"/>
                <w:sz w:val="20"/>
                <w:szCs w:val="20"/>
              </w:rPr>
            </w:pPr>
            <w:r w:rsidRPr="00623DA7">
              <w:rPr>
                <w:rFonts w:cs="Arial"/>
                <w:sz w:val="20"/>
                <w:szCs w:val="20"/>
              </w:rPr>
              <w:t>Next steps</w:t>
            </w:r>
          </w:p>
        </w:tc>
        <w:tc>
          <w:tcPr>
            <w:tcW w:w="5529" w:type="dxa"/>
            <w:tcBorders>
              <w:top w:val="double" w:sz="6" w:space="0" w:color="auto"/>
              <w:bottom w:val="double" w:sz="6" w:space="0" w:color="auto"/>
            </w:tcBorders>
          </w:tcPr>
          <w:p w:rsidR="00D96A4F" w:rsidRPr="00623DA7" w:rsidRDefault="00D96A4F" w:rsidP="0058419C">
            <w:pPr>
              <w:rPr>
                <w:rFonts w:cs="Arial"/>
                <w:sz w:val="20"/>
                <w:szCs w:val="20"/>
              </w:rPr>
            </w:pPr>
            <w:r w:rsidRPr="00623DA7">
              <w:rPr>
                <w:rFonts w:cs="Arial"/>
                <w:sz w:val="20"/>
                <w:szCs w:val="20"/>
              </w:rPr>
              <w:t>Is there a clear plan to support implementation of change and improvement and method for monitoring?</w:t>
            </w:r>
          </w:p>
        </w:tc>
        <w:tc>
          <w:tcPr>
            <w:tcW w:w="1134" w:type="dxa"/>
            <w:tcBorders>
              <w:top w:val="double" w:sz="6" w:space="0" w:color="auto"/>
              <w:bottom w:val="double" w:sz="6" w:space="0" w:color="auto"/>
            </w:tcBorders>
          </w:tcPr>
          <w:p w:rsidR="00D96A4F" w:rsidRPr="00623DA7" w:rsidRDefault="00D96A4F" w:rsidP="0058419C">
            <w:pPr>
              <w:rPr>
                <w:rFonts w:cs="Arial"/>
                <w:sz w:val="20"/>
                <w:szCs w:val="20"/>
              </w:rPr>
            </w:pPr>
          </w:p>
        </w:tc>
        <w:tc>
          <w:tcPr>
            <w:tcW w:w="2835" w:type="dxa"/>
            <w:tcBorders>
              <w:top w:val="double" w:sz="6" w:space="0" w:color="auto"/>
              <w:bottom w:val="double" w:sz="6" w:space="0" w:color="auto"/>
            </w:tcBorders>
          </w:tcPr>
          <w:p w:rsidR="00D96A4F" w:rsidRPr="00623DA7" w:rsidRDefault="00D96A4F" w:rsidP="0058419C">
            <w:pPr>
              <w:rPr>
                <w:rFonts w:cs="Arial"/>
                <w:sz w:val="20"/>
                <w:szCs w:val="20"/>
              </w:rPr>
            </w:pPr>
          </w:p>
        </w:tc>
      </w:tr>
      <w:tr w:rsidR="00D96A4F" w:rsidRPr="00623DA7" w:rsidTr="0058419C">
        <w:trPr>
          <w:trHeight w:val="132"/>
        </w:trPr>
        <w:tc>
          <w:tcPr>
            <w:tcW w:w="1418" w:type="dxa"/>
            <w:tcBorders>
              <w:top w:val="double" w:sz="6" w:space="0" w:color="auto"/>
            </w:tcBorders>
            <w:shd w:val="clear" w:color="auto" w:fill="D9D9D9" w:themeFill="background1" w:themeFillShade="D9"/>
          </w:tcPr>
          <w:p w:rsidR="00D96A4F" w:rsidRPr="00623DA7" w:rsidRDefault="00D96A4F" w:rsidP="0058419C">
            <w:pPr>
              <w:rPr>
                <w:rFonts w:cs="Arial"/>
                <w:sz w:val="20"/>
                <w:szCs w:val="20"/>
              </w:rPr>
            </w:pPr>
            <w:r w:rsidRPr="00623DA7">
              <w:rPr>
                <w:rFonts w:cs="Arial"/>
                <w:sz w:val="20"/>
                <w:szCs w:val="20"/>
              </w:rPr>
              <w:t>Overall assessment</w:t>
            </w:r>
            <w:r>
              <w:rPr>
                <w:rFonts w:cs="Arial"/>
                <w:sz w:val="20"/>
                <w:szCs w:val="20"/>
              </w:rPr>
              <w:t xml:space="preserve"> and feedback</w:t>
            </w:r>
          </w:p>
        </w:tc>
        <w:tc>
          <w:tcPr>
            <w:tcW w:w="9498" w:type="dxa"/>
            <w:gridSpan w:val="3"/>
            <w:tcBorders>
              <w:top w:val="double" w:sz="6" w:space="0" w:color="auto"/>
            </w:tcBorders>
            <w:shd w:val="clear" w:color="auto" w:fill="D9D9D9" w:themeFill="background1" w:themeFillShade="D9"/>
          </w:tcPr>
          <w:p w:rsidR="00D96A4F" w:rsidRDefault="00D96A4F" w:rsidP="0058419C">
            <w:pPr>
              <w:rPr>
                <w:rFonts w:cs="Arial"/>
                <w:sz w:val="20"/>
                <w:szCs w:val="20"/>
              </w:rPr>
            </w:pPr>
          </w:p>
          <w:p w:rsidR="00D96A4F" w:rsidRDefault="00D96A4F" w:rsidP="0058419C">
            <w:pPr>
              <w:rPr>
                <w:rFonts w:cs="Arial"/>
                <w:sz w:val="20"/>
                <w:szCs w:val="20"/>
              </w:rPr>
            </w:pPr>
          </w:p>
          <w:p w:rsidR="00D96A4F" w:rsidRDefault="00D96A4F" w:rsidP="0058419C">
            <w:pPr>
              <w:rPr>
                <w:rFonts w:cs="Arial"/>
                <w:sz w:val="20"/>
                <w:szCs w:val="20"/>
              </w:rPr>
            </w:pPr>
          </w:p>
          <w:p w:rsidR="00D96A4F" w:rsidRDefault="00D96A4F" w:rsidP="0058419C">
            <w:pPr>
              <w:rPr>
                <w:rFonts w:cs="Arial"/>
                <w:sz w:val="20"/>
                <w:szCs w:val="20"/>
              </w:rPr>
            </w:pPr>
          </w:p>
          <w:p w:rsidR="00D96A4F" w:rsidRPr="00623DA7" w:rsidRDefault="00D96A4F" w:rsidP="0058419C">
            <w:pPr>
              <w:rPr>
                <w:rFonts w:cs="Arial"/>
                <w:sz w:val="20"/>
                <w:szCs w:val="20"/>
              </w:rPr>
            </w:pPr>
          </w:p>
        </w:tc>
      </w:tr>
    </w:tbl>
    <w:p w:rsidR="00D96A4F" w:rsidRDefault="00D96A4F" w:rsidP="00D96A4F"/>
    <w:p w:rsidR="005D2131" w:rsidRDefault="005D2131" w:rsidP="00DF0A1A">
      <w:pPr>
        <w:pStyle w:val="Heading1"/>
      </w:pPr>
      <w:bookmarkStart w:id="68" w:name="_Toc414568080"/>
      <w:r>
        <w:lastRenderedPageBreak/>
        <w:t>Glossary</w:t>
      </w:r>
      <w:bookmarkEnd w:id="68"/>
    </w:p>
    <w:p w:rsidR="00DF0A1A" w:rsidRPr="00DF0A1A" w:rsidRDefault="00DF0A1A" w:rsidP="00DF0A1A"/>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Abuse </w:t>
      </w:r>
      <w:r>
        <w:rPr>
          <w:rFonts w:cstheme="minorHAnsi"/>
          <w:b/>
          <w:bCs w:val="0"/>
          <w:lang w:val="en-US"/>
        </w:rPr>
        <w:t xml:space="preserve">- </w:t>
      </w:r>
      <w:r w:rsidRPr="008F75C0">
        <w:rPr>
          <w:rFonts w:cstheme="minorHAnsi"/>
          <w:lang w:val="en-US"/>
        </w:rPr>
        <w:t>A violation of an individual’s human and civil rights by any other person or persons. Abuse may consist of single or repeated acts. It may be physical, verbal or psychological, it may be an act of neglect or an omission to act, or it may occur when a vulnerable person is persuaded to enter into a financial or sexual transaction to which he or she has not consented, or cannot consent. Abuse can occur in any relationship and may result in significant harm, or exploitation, of the person subjected to it</w:t>
      </w:r>
      <w:r>
        <w:rPr>
          <w:rStyle w:val="EndnoteReference"/>
          <w:rFonts w:eastAsiaTheme="majorEastAsia" w:cstheme="minorHAnsi"/>
          <w:lang w:val="en-US"/>
        </w:rPr>
        <w:endnoteReference w:id="13"/>
      </w:r>
      <w:r w:rsidRPr="008F75C0">
        <w:rPr>
          <w:rFonts w:cstheme="minorHAnsi"/>
          <w:lang w:val="en-US"/>
        </w:rPr>
        <w:t xml:space="preserve"> </w:t>
      </w:r>
    </w:p>
    <w:p w:rsidR="00DF0A1A" w:rsidRDefault="00DF0A1A" w:rsidP="00DF0A1A">
      <w:pPr>
        <w:autoSpaceDE w:val="0"/>
        <w:autoSpaceDN w:val="0"/>
        <w:adjustRightInd w:val="0"/>
        <w:spacing w:after="120"/>
        <w:rPr>
          <w:rFonts w:cstheme="minorHAnsi"/>
          <w:lang w:val="en-US"/>
        </w:rPr>
      </w:pPr>
      <w:r>
        <w:rPr>
          <w:rFonts w:cstheme="minorHAnsi"/>
          <w:lang w:val="en-US"/>
        </w:rPr>
        <w:t>Specific forms of abuse are described in detail within</w:t>
      </w:r>
      <w:r w:rsidRPr="008F75C0">
        <w:rPr>
          <w:rFonts w:cstheme="minorHAnsi"/>
          <w:lang w:val="en-US"/>
        </w:rPr>
        <w:t xml:space="preserve"> </w:t>
      </w:r>
      <w:r w:rsidRPr="008F75C0">
        <w:rPr>
          <w:rFonts w:cstheme="minorHAnsi"/>
          <w:i/>
          <w:iCs/>
          <w:lang w:val="en-US"/>
        </w:rPr>
        <w:t>Working together to safeguard children (2010)</w:t>
      </w:r>
      <w:r>
        <w:rPr>
          <w:rFonts w:cstheme="minorHAnsi"/>
          <w:lang w:val="en-US"/>
        </w:rPr>
        <w:t xml:space="preserve"> and guidance for safeguarding adults</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Adverse Event/Incident </w:t>
      </w:r>
      <w:r>
        <w:rPr>
          <w:rFonts w:cstheme="minorHAnsi"/>
          <w:b/>
          <w:bCs w:val="0"/>
          <w:lang w:val="en-US"/>
        </w:rPr>
        <w:t xml:space="preserve">- </w:t>
      </w:r>
      <w:r w:rsidRPr="008F75C0">
        <w:rPr>
          <w:rFonts w:cstheme="minorHAnsi"/>
          <w:lang w:val="en-US"/>
        </w:rPr>
        <w:t>See Patient Safety Incident.</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Being Open </w:t>
      </w:r>
      <w:r>
        <w:rPr>
          <w:rFonts w:cstheme="minorHAnsi"/>
          <w:b/>
          <w:bCs w:val="0"/>
          <w:lang w:val="en-US"/>
        </w:rPr>
        <w:t xml:space="preserve">- </w:t>
      </w:r>
      <w:r w:rsidRPr="008F75C0">
        <w:rPr>
          <w:rFonts w:cstheme="minorHAnsi"/>
          <w:lang w:val="en-US"/>
        </w:rPr>
        <w:t>Open communication of patient safety incidents that result in harm or the death of a patient while receiving healthcare.</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Carers</w:t>
      </w:r>
      <w:r>
        <w:rPr>
          <w:rFonts w:cstheme="minorHAnsi"/>
          <w:b/>
          <w:bCs w:val="0"/>
          <w:lang w:val="en-US"/>
        </w:rPr>
        <w:t xml:space="preserve"> -</w:t>
      </w:r>
      <w:r w:rsidRPr="008F75C0">
        <w:rPr>
          <w:rFonts w:cstheme="minorHAnsi"/>
          <w:b/>
          <w:bCs w:val="0"/>
          <w:lang w:val="en-US"/>
        </w:rPr>
        <w:t xml:space="preserve"> </w:t>
      </w:r>
      <w:r w:rsidRPr="008F75C0">
        <w:rPr>
          <w:rFonts w:cstheme="minorHAnsi"/>
          <w:lang w:val="en-US"/>
        </w:rPr>
        <w:t>Family, friends or those who care for the patient. The patient has consented to their being informed of their confidential information and to their involvement in any decisions about their care.</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Child </w:t>
      </w:r>
      <w:r>
        <w:rPr>
          <w:rFonts w:cstheme="minorHAnsi"/>
          <w:b/>
          <w:bCs w:val="0"/>
          <w:lang w:val="en-US"/>
        </w:rPr>
        <w:t xml:space="preserve">- </w:t>
      </w:r>
      <w:r w:rsidRPr="008F75C0">
        <w:rPr>
          <w:rFonts w:cstheme="minorHAnsi"/>
          <w:lang w:val="en-US"/>
        </w:rPr>
        <w:t>The Children Act 1989 and the Children Act 2004 define a child as being a person up to the age of 18 years. The Children Act 2004 states that safeguarding, protection and cooperation between services may, in certain circumstances, be continued through to a young person’s 19th birthday or beyond.</w:t>
      </w:r>
    </w:p>
    <w:p w:rsidR="00DF0A1A" w:rsidRPr="008F75C0" w:rsidRDefault="00DF0A1A" w:rsidP="00DF0A1A">
      <w:pPr>
        <w:autoSpaceDE w:val="0"/>
        <w:autoSpaceDN w:val="0"/>
        <w:adjustRightInd w:val="0"/>
        <w:spacing w:after="120"/>
        <w:rPr>
          <w:rFonts w:cstheme="minorHAnsi"/>
          <w:b/>
          <w:bCs w:val="0"/>
          <w:lang w:val="en-US"/>
        </w:rPr>
      </w:pPr>
      <w:r w:rsidRPr="008F75C0">
        <w:rPr>
          <w:rFonts w:cstheme="minorHAnsi"/>
          <w:b/>
          <w:bCs w:val="0"/>
          <w:lang w:val="en-US"/>
        </w:rPr>
        <w:t xml:space="preserve">Clinical Governance </w:t>
      </w:r>
      <w:r>
        <w:rPr>
          <w:rFonts w:cstheme="minorHAnsi"/>
          <w:b/>
          <w:bCs w:val="0"/>
          <w:lang w:val="en-US"/>
        </w:rPr>
        <w:t xml:space="preserve">- </w:t>
      </w:r>
      <w:r w:rsidRPr="008F75C0">
        <w:rPr>
          <w:rFonts w:cstheme="minorHAnsi"/>
          <w:lang w:val="en-US"/>
        </w:rPr>
        <w:t xml:space="preserve">A </w:t>
      </w:r>
      <w:r w:rsidR="005A7486">
        <w:rPr>
          <w:rFonts w:cstheme="minorHAnsi"/>
          <w:lang w:val="en-US"/>
        </w:rPr>
        <w:t>Framework</w:t>
      </w:r>
      <w:r w:rsidRPr="008F75C0">
        <w:rPr>
          <w:rFonts w:cstheme="minorHAnsi"/>
          <w:lang w:val="en-US"/>
        </w:rPr>
        <w:t xml:space="preserve"> through which NHS </w:t>
      </w:r>
      <w:r w:rsidRPr="008F75C0">
        <w:rPr>
          <w:rFonts w:cstheme="minorHAnsi"/>
        </w:rPr>
        <w:t>organisations</w:t>
      </w:r>
      <w:r w:rsidRPr="008F75C0">
        <w:rPr>
          <w:rFonts w:cstheme="minorHAnsi"/>
          <w:lang w:val="en-US"/>
        </w:rPr>
        <w:t xml:space="preserve"> are accountable for continuously improving the quality of their services and safeguarding high standards of care by creating an environment in which excellence in clinical care will flourish.</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Commissioner </w:t>
      </w:r>
      <w:r>
        <w:rPr>
          <w:rFonts w:cstheme="minorHAnsi"/>
          <w:b/>
          <w:bCs w:val="0"/>
          <w:lang w:val="en-US"/>
        </w:rPr>
        <w:t xml:space="preserve">- </w:t>
      </w:r>
      <w:r w:rsidRPr="008F75C0">
        <w:rPr>
          <w:rFonts w:cstheme="minorHAnsi"/>
          <w:lang w:val="en-US"/>
        </w:rPr>
        <w:t>An organisation with responsibility for assessing the needs of service users, arranging or buying services to meet those needs from service providers in either the public, private or voluntary sectors, and assuring itself as to the quality of those services.</w:t>
      </w:r>
    </w:p>
    <w:p w:rsidR="00DF0A1A"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Clinical </w:t>
      </w:r>
      <w:r w:rsidR="001D359A">
        <w:rPr>
          <w:rFonts w:cstheme="minorHAnsi"/>
          <w:b/>
          <w:bCs w:val="0"/>
          <w:lang w:val="en-US"/>
        </w:rPr>
        <w:t>C</w:t>
      </w:r>
      <w:r w:rsidRPr="008F75C0">
        <w:rPr>
          <w:rFonts w:cstheme="minorHAnsi"/>
          <w:b/>
          <w:bCs w:val="0"/>
          <w:lang w:val="en-US"/>
        </w:rPr>
        <w:t xml:space="preserve">ommissioning </w:t>
      </w:r>
      <w:r w:rsidR="001D359A">
        <w:rPr>
          <w:rFonts w:cstheme="minorHAnsi"/>
          <w:b/>
          <w:bCs w:val="0"/>
          <w:lang w:val="en-US"/>
        </w:rPr>
        <w:t>G</w:t>
      </w:r>
      <w:r w:rsidRPr="008F75C0">
        <w:rPr>
          <w:rFonts w:cstheme="minorHAnsi"/>
          <w:b/>
          <w:bCs w:val="0"/>
          <w:lang w:val="en-US"/>
        </w:rPr>
        <w:t>roup</w:t>
      </w:r>
      <w:r>
        <w:rPr>
          <w:rFonts w:cstheme="minorHAnsi"/>
          <w:b/>
          <w:bCs w:val="0"/>
          <w:lang w:val="en-US"/>
        </w:rPr>
        <w:t xml:space="preserve"> -</w:t>
      </w:r>
      <w:r w:rsidRPr="008F75C0">
        <w:rPr>
          <w:rFonts w:cstheme="minorHAnsi"/>
          <w:b/>
          <w:bCs w:val="0"/>
          <w:lang w:val="en-US"/>
        </w:rPr>
        <w:t xml:space="preserve"> </w:t>
      </w:r>
      <w:r w:rsidRPr="008F75C0">
        <w:rPr>
          <w:rFonts w:cstheme="minorHAnsi"/>
          <w:lang w:val="en-US"/>
        </w:rPr>
        <w:t>Clinically-led organisation that commissions most NHS-funded healthcare on behalf of its relevant population. CCGs are not responsible for commissioning primary care, specialised services, prison healthcare, or public health services.</w:t>
      </w:r>
    </w:p>
    <w:p w:rsidR="00C52C5D" w:rsidRPr="00997090" w:rsidRDefault="00C52C5D" w:rsidP="00997090">
      <w:pPr>
        <w:autoSpaceDE w:val="0"/>
        <w:autoSpaceDN w:val="0"/>
        <w:adjustRightInd w:val="0"/>
        <w:spacing w:after="120"/>
        <w:rPr>
          <w:rFonts w:cstheme="minorHAnsi"/>
          <w:lang w:val="en-US"/>
        </w:rPr>
      </w:pPr>
      <w:r w:rsidRPr="00997090">
        <w:rPr>
          <w:rFonts w:cstheme="minorHAnsi"/>
          <w:b/>
          <w:lang w:val="en-US"/>
        </w:rPr>
        <w:t>Contributory Factors</w:t>
      </w:r>
      <w:r>
        <w:rPr>
          <w:rFonts w:cstheme="minorHAnsi"/>
          <w:lang w:val="en-US"/>
        </w:rPr>
        <w:t xml:space="preserve"> –</w:t>
      </w:r>
      <w:r w:rsidR="00997090">
        <w:rPr>
          <w:rFonts w:cstheme="minorHAnsi"/>
          <w:lang w:val="en-US"/>
        </w:rPr>
        <w:t xml:space="preserve"> the </w:t>
      </w:r>
      <w:r w:rsidR="00997090" w:rsidRPr="00997090">
        <w:rPr>
          <w:rFonts w:cstheme="minorHAnsi"/>
          <w:lang w:val="en-US"/>
        </w:rPr>
        <w:t>Root Caus</w:t>
      </w:r>
      <w:r w:rsidR="00997090">
        <w:rPr>
          <w:rFonts w:cstheme="minorHAnsi"/>
          <w:lang w:val="en-US"/>
        </w:rPr>
        <w:t xml:space="preserve">e Analysis Investigation tools, </w:t>
      </w:r>
      <w:r w:rsidR="00997090" w:rsidRPr="00997090">
        <w:rPr>
          <w:rFonts w:cstheme="minorHAnsi"/>
          <w:lang w:val="en-US"/>
        </w:rPr>
        <w:t>Contributory F</w:t>
      </w:r>
      <w:r w:rsidR="00997090">
        <w:rPr>
          <w:rFonts w:cstheme="minorHAnsi"/>
          <w:lang w:val="en-US"/>
        </w:rPr>
        <w:t xml:space="preserve">actors Classification </w:t>
      </w:r>
      <w:r w:rsidR="005A7486">
        <w:rPr>
          <w:rFonts w:cstheme="minorHAnsi"/>
          <w:lang w:val="en-US"/>
        </w:rPr>
        <w:t>Framework</w:t>
      </w:r>
      <w:r w:rsidR="00997090">
        <w:rPr>
          <w:rFonts w:cstheme="minorHAnsi"/>
          <w:lang w:val="en-US"/>
        </w:rPr>
        <w:t xml:space="preserve"> available at: </w:t>
      </w:r>
      <w:hyperlink r:id="rId38" w:history="1">
        <w:r w:rsidR="00997090" w:rsidRPr="00EC6AA5">
          <w:rPr>
            <w:rStyle w:val="Hyperlink"/>
            <w:rFonts w:cstheme="minorHAnsi"/>
            <w:lang w:val="en-US"/>
          </w:rPr>
          <w:t>http://www.nrls.npsa.nhs.uk/resources/collections/root-cause-analysis/</w:t>
        </w:r>
      </w:hyperlink>
      <w:r w:rsidR="00997090">
        <w:rPr>
          <w:rFonts w:cstheme="minorHAnsi"/>
          <w:lang w:val="en-US"/>
        </w:rPr>
        <w:t xml:space="preserve"> provides </w:t>
      </w:r>
      <w:r w:rsidR="00887D79">
        <w:rPr>
          <w:rFonts w:cstheme="minorHAnsi"/>
          <w:lang w:val="en-US"/>
        </w:rPr>
        <w:t xml:space="preserve">a breakdown of </w:t>
      </w:r>
      <w:r w:rsidR="00997090">
        <w:rPr>
          <w:rFonts w:cstheme="minorHAnsi"/>
          <w:lang w:val="en-US"/>
        </w:rPr>
        <w:t xml:space="preserve">factors (e.g. patient or task related factors) and their components (e.g. co-morbidities, complexity of condition or out of date policy) which contributed to the problems in care or service delivery. </w:t>
      </w:r>
      <w:r w:rsidR="00887D79">
        <w:rPr>
          <w:rFonts w:cstheme="minorHAnsi"/>
          <w:lang w:val="en-US"/>
        </w:rPr>
        <w:t xml:space="preserve">The contributory factors should be identified as part of the investigation process before the root causes and solution are explored. </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Culture</w:t>
      </w:r>
      <w:r>
        <w:rPr>
          <w:rFonts w:cstheme="minorHAnsi"/>
          <w:b/>
          <w:bCs w:val="0"/>
          <w:lang w:val="en-US"/>
        </w:rPr>
        <w:t xml:space="preserve"> -</w:t>
      </w:r>
      <w:r w:rsidRPr="008F75C0">
        <w:rPr>
          <w:rFonts w:cstheme="minorHAnsi"/>
          <w:b/>
          <w:bCs w:val="0"/>
          <w:lang w:val="en-US"/>
        </w:rPr>
        <w:t xml:space="preserve"> </w:t>
      </w:r>
      <w:r w:rsidRPr="008F75C0">
        <w:rPr>
          <w:rFonts w:cstheme="minorHAnsi"/>
          <w:lang w:val="en-US"/>
        </w:rPr>
        <w:t>Learned attitudes, beliefs and values that define a group or groups of people.</w:t>
      </w:r>
    </w:p>
    <w:p w:rsidR="00DF0A1A"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Data Loss </w:t>
      </w:r>
      <w:r>
        <w:rPr>
          <w:rFonts w:cstheme="minorHAnsi"/>
          <w:b/>
          <w:bCs w:val="0"/>
          <w:lang w:val="en-US"/>
        </w:rPr>
        <w:t xml:space="preserve">- </w:t>
      </w:r>
      <w:r w:rsidRPr="008F75C0">
        <w:rPr>
          <w:rFonts w:cstheme="minorHAnsi"/>
          <w:lang w:val="en-US"/>
        </w:rPr>
        <w:t>There is no simple definition of a serious</w:t>
      </w:r>
      <w:r w:rsidR="00325D8A">
        <w:rPr>
          <w:rFonts w:cstheme="minorHAnsi"/>
          <w:lang w:val="en-US"/>
        </w:rPr>
        <w:t xml:space="preserve"> data loss</w:t>
      </w:r>
      <w:r w:rsidRPr="008F75C0">
        <w:rPr>
          <w:rFonts w:cstheme="minorHAnsi"/>
          <w:lang w:val="en-US"/>
        </w:rPr>
        <w:t xml:space="preserve"> incident. What may at first appear to be of minor importance may, on further investigation, be found to be serious and vice versa.</w:t>
      </w:r>
      <w:r>
        <w:rPr>
          <w:rFonts w:cstheme="minorHAnsi"/>
          <w:lang w:val="en-US"/>
        </w:rPr>
        <w:t xml:space="preserve"> </w:t>
      </w:r>
      <w:r w:rsidRPr="008F75C0">
        <w:rPr>
          <w:rFonts w:cstheme="minorHAnsi"/>
          <w:lang w:val="en-US"/>
        </w:rPr>
        <w:t xml:space="preserve">Any incident involving the actual or potential loss of personal </w:t>
      </w:r>
      <w:r w:rsidRPr="008F75C0">
        <w:rPr>
          <w:rFonts w:cstheme="minorHAnsi"/>
          <w:lang w:val="en-US"/>
        </w:rPr>
        <w:lastRenderedPageBreak/>
        <w:t>information that could lead to identity fraud or have other significant impact on individuals s</w:t>
      </w:r>
      <w:r>
        <w:rPr>
          <w:rFonts w:cstheme="minorHAnsi"/>
          <w:lang w:val="en-US"/>
        </w:rPr>
        <w:t>hould be considered as serious.</w:t>
      </w:r>
    </w:p>
    <w:p w:rsidR="00887D79" w:rsidRPr="00887D79" w:rsidRDefault="00C52C5D" w:rsidP="00887D79">
      <w:pPr>
        <w:autoSpaceDE w:val="0"/>
        <w:autoSpaceDN w:val="0"/>
        <w:adjustRightInd w:val="0"/>
        <w:spacing w:after="120"/>
        <w:rPr>
          <w:rFonts w:cstheme="minorHAnsi"/>
        </w:rPr>
      </w:pPr>
      <w:r w:rsidRPr="00887D79">
        <w:rPr>
          <w:rFonts w:cstheme="minorHAnsi"/>
          <w:b/>
          <w:lang w:val="en-US"/>
        </w:rPr>
        <w:t>Duty of Candour</w:t>
      </w:r>
      <w:r w:rsidR="00887D79">
        <w:rPr>
          <w:rFonts w:cstheme="minorHAnsi"/>
          <w:lang w:val="en-US"/>
        </w:rPr>
        <w:t xml:space="preserve"> – a </w:t>
      </w:r>
      <w:r w:rsidR="00887D79" w:rsidRPr="00887D79">
        <w:rPr>
          <w:rFonts w:cstheme="minorHAnsi"/>
        </w:rPr>
        <w:t xml:space="preserve">statutory requirement </w:t>
      </w:r>
      <w:r w:rsidR="00887D79">
        <w:rPr>
          <w:rFonts w:cstheme="minorHAnsi"/>
        </w:rPr>
        <w:t xml:space="preserve">has been introduced to ensure health care providers </w:t>
      </w:r>
      <w:r w:rsidR="00887D79" w:rsidRPr="00887D79">
        <w:rPr>
          <w:rFonts w:cstheme="minorHAnsi"/>
        </w:rPr>
        <w:t>operate in a mor</w:t>
      </w:r>
      <w:r w:rsidR="00887D79">
        <w:rPr>
          <w:rFonts w:cstheme="minorHAnsi"/>
        </w:rPr>
        <w:t>e open and transparent way. The</w:t>
      </w:r>
      <w:r w:rsidR="00887D79" w:rsidRPr="00887D79">
        <w:rPr>
          <w:rFonts w:cstheme="minorHAnsi"/>
        </w:rPr>
        <w:t xml:space="preserve"> regulation </w:t>
      </w:r>
      <w:r w:rsidR="00887D79">
        <w:rPr>
          <w:rFonts w:cstheme="minorHAnsi"/>
        </w:rPr>
        <w:t>for Duty of Candour applied</w:t>
      </w:r>
      <w:r w:rsidR="00887D79" w:rsidRPr="00887D79">
        <w:rPr>
          <w:rFonts w:cstheme="minorHAnsi"/>
        </w:rPr>
        <w:t xml:space="preserve"> to health service bodies from 27 November 2014. It will be extended to all other providers from 1 April 2015, subject to Parliamentary process and approval. </w:t>
      </w:r>
    </w:p>
    <w:p w:rsidR="00887D79" w:rsidRPr="00887D79" w:rsidRDefault="00887D79" w:rsidP="00887D79">
      <w:pPr>
        <w:autoSpaceDE w:val="0"/>
        <w:autoSpaceDN w:val="0"/>
        <w:adjustRightInd w:val="0"/>
        <w:spacing w:after="120"/>
        <w:rPr>
          <w:rFonts w:cstheme="minorHAnsi"/>
        </w:rPr>
      </w:pPr>
      <w:r w:rsidRPr="00887D79">
        <w:rPr>
          <w:rFonts w:cstheme="minorHAnsi"/>
        </w:rPr>
        <w:t>This regulation requires an NHS body to:</w:t>
      </w:r>
    </w:p>
    <w:p w:rsidR="00887D79" w:rsidRPr="00887D79" w:rsidRDefault="00887D79" w:rsidP="0072371B">
      <w:pPr>
        <w:numPr>
          <w:ilvl w:val="0"/>
          <w:numId w:val="69"/>
        </w:numPr>
        <w:autoSpaceDE w:val="0"/>
        <w:autoSpaceDN w:val="0"/>
        <w:adjustRightInd w:val="0"/>
        <w:spacing w:after="120"/>
        <w:rPr>
          <w:rFonts w:cstheme="minorHAnsi"/>
        </w:rPr>
      </w:pPr>
      <w:r w:rsidRPr="00887D79">
        <w:rPr>
          <w:rFonts w:cstheme="minorHAnsi"/>
        </w:rPr>
        <w:t>Make sure it acts in an open and transparent way with relevant persons in relation to care and treatment provided to people who use services in carrying on a regulated activity</w:t>
      </w:r>
    </w:p>
    <w:p w:rsidR="00887D79" w:rsidRPr="00887D79" w:rsidRDefault="00887D79" w:rsidP="0072371B">
      <w:pPr>
        <w:numPr>
          <w:ilvl w:val="0"/>
          <w:numId w:val="69"/>
        </w:numPr>
        <w:autoSpaceDE w:val="0"/>
        <w:autoSpaceDN w:val="0"/>
        <w:adjustRightInd w:val="0"/>
        <w:spacing w:after="120"/>
        <w:rPr>
          <w:rFonts w:cstheme="minorHAnsi"/>
        </w:rPr>
      </w:pPr>
      <w:r w:rsidRPr="00887D79">
        <w:rPr>
          <w:rFonts w:cstheme="minorHAnsi"/>
        </w:rPr>
        <w:t>Tell the relevant person in person as soon as reasonably practicable after becoming aware that a ‘notifiable safety incident</w:t>
      </w:r>
      <w:r w:rsidRPr="00887D79">
        <w:rPr>
          <w:rFonts w:cstheme="minorHAnsi"/>
          <w:vertAlign w:val="superscript"/>
        </w:rPr>
        <w:footnoteReference w:id="64"/>
      </w:r>
      <w:r w:rsidRPr="00887D79">
        <w:rPr>
          <w:rFonts w:cstheme="minorHAnsi"/>
        </w:rPr>
        <w:t>’ has occurred, and provide support to them in relation to the incident, including when giving the notification.</w:t>
      </w:r>
    </w:p>
    <w:p w:rsidR="00887D79" w:rsidRPr="00887D79" w:rsidRDefault="00887D79" w:rsidP="0072371B">
      <w:pPr>
        <w:numPr>
          <w:ilvl w:val="0"/>
          <w:numId w:val="69"/>
        </w:numPr>
        <w:autoSpaceDE w:val="0"/>
        <w:autoSpaceDN w:val="0"/>
        <w:adjustRightInd w:val="0"/>
        <w:spacing w:after="120"/>
        <w:rPr>
          <w:rFonts w:cstheme="minorHAnsi"/>
        </w:rPr>
      </w:pPr>
      <w:r w:rsidRPr="00887D79">
        <w:rPr>
          <w:rFonts w:cstheme="minorHAnsi"/>
        </w:rPr>
        <w:t>Provide an account of the incident which, to the best of the health service body’s knowledge, is true of all the facts the body knows about the incident as at the date of the notification.</w:t>
      </w:r>
    </w:p>
    <w:p w:rsidR="00887D79" w:rsidRPr="00887D79" w:rsidRDefault="00887D79" w:rsidP="0072371B">
      <w:pPr>
        <w:numPr>
          <w:ilvl w:val="0"/>
          <w:numId w:val="69"/>
        </w:numPr>
        <w:autoSpaceDE w:val="0"/>
        <w:autoSpaceDN w:val="0"/>
        <w:adjustRightInd w:val="0"/>
        <w:spacing w:after="120"/>
        <w:rPr>
          <w:rFonts w:cstheme="minorHAnsi"/>
        </w:rPr>
      </w:pPr>
      <w:r w:rsidRPr="00887D79">
        <w:rPr>
          <w:rFonts w:cstheme="minorHAnsi"/>
        </w:rPr>
        <w:t>Advise the relevant person what further enquiries the health service body believes are appropriate.</w:t>
      </w:r>
    </w:p>
    <w:p w:rsidR="00887D79" w:rsidRPr="00887D79" w:rsidRDefault="00887D79" w:rsidP="0072371B">
      <w:pPr>
        <w:numPr>
          <w:ilvl w:val="0"/>
          <w:numId w:val="69"/>
        </w:numPr>
        <w:autoSpaceDE w:val="0"/>
        <w:autoSpaceDN w:val="0"/>
        <w:adjustRightInd w:val="0"/>
        <w:spacing w:after="120"/>
        <w:rPr>
          <w:rFonts w:cstheme="minorHAnsi"/>
        </w:rPr>
      </w:pPr>
      <w:r w:rsidRPr="00887D79">
        <w:rPr>
          <w:rFonts w:cstheme="minorHAnsi"/>
        </w:rPr>
        <w:t>Offer an apology.</w:t>
      </w:r>
    </w:p>
    <w:p w:rsidR="00887D79" w:rsidRDefault="00887D79" w:rsidP="0072371B">
      <w:pPr>
        <w:numPr>
          <w:ilvl w:val="0"/>
          <w:numId w:val="69"/>
        </w:numPr>
        <w:autoSpaceDE w:val="0"/>
        <w:autoSpaceDN w:val="0"/>
        <w:adjustRightInd w:val="0"/>
        <w:spacing w:after="120"/>
        <w:rPr>
          <w:rFonts w:cstheme="minorHAnsi"/>
        </w:rPr>
      </w:pPr>
      <w:r w:rsidRPr="00887D79">
        <w:rPr>
          <w:rFonts w:cstheme="minorHAnsi"/>
        </w:rPr>
        <w:t>Follow this up by giving the same information in writing, and providing an update on the enquiries.</w:t>
      </w:r>
    </w:p>
    <w:p w:rsidR="00C52C5D" w:rsidRPr="00887D79" w:rsidRDefault="00887D79" w:rsidP="0072371B">
      <w:pPr>
        <w:numPr>
          <w:ilvl w:val="0"/>
          <w:numId w:val="69"/>
        </w:numPr>
        <w:autoSpaceDE w:val="0"/>
        <w:autoSpaceDN w:val="0"/>
        <w:adjustRightInd w:val="0"/>
        <w:spacing w:after="120"/>
        <w:rPr>
          <w:rFonts w:cstheme="minorHAnsi"/>
        </w:rPr>
      </w:pPr>
      <w:r w:rsidRPr="00887D79">
        <w:rPr>
          <w:rFonts w:cstheme="minorHAnsi"/>
        </w:rPr>
        <w:t>Keep a written record of all communication with the relevant person</w:t>
      </w:r>
    </w:p>
    <w:p w:rsidR="00887D79" w:rsidRPr="00887D79" w:rsidRDefault="00887D79" w:rsidP="00DF0A1A">
      <w:pPr>
        <w:autoSpaceDE w:val="0"/>
        <w:autoSpaceDN w:val="0"/>
        <w:adjustRightInd w:val="0"/>
        <w:spacing w:after="120"/>
        <w:rPr>
          <w:rFonts w:cstheme="minorHAnsi"/>
          <w:bCs w:val="0"/>
          <w:lang w:val="en-US"/>
        </w:rPr>
      </w:pPr>
      <w:r w:rsidRPr="00887D79">
        <w:rPr>
          <w:rFonts w:cstheme="minorHAnsi"/>
          <w:bCs w:val="0"/>
          <w:lang w:val="en-US"/>
        </w:rPr>
        <w:t xml:space="preserve">Further information is available online at </w:t>
      </w:r>
      <w:hyperlink r:id="rId39" w:history="1">
        <w:r w:rsidRPr="00887D79">
          <w:rPr>
            <w:rStyle w:val="Hyperlink"/>
            <w:rFonts w:cstheme="minorHAnsi"/>
            <w:bCs w:val="0"/>
            <w:lang w:val="en-US"/>
          </w:rPr>
          <w:t>http://www.legislation.gov.uk/ukdsi/2014/9780111117613/regulation/20</w:t>
        </w:r>
      </w:hyperlink>
      <w:r w:rsidRPr="00887D79">
        <w:rPr>
          <w:rFonts w:cstheme="minorHAnsi"/>
          <w:bCs w:val="0"/>
          <w:lang w:val="en-US"/>
        </w:rPr>
        <w:t xml:space="preserve"> and </w:t>
      </w:r>
      <w:hyperlink r:id="rId40" w:history="1">
        <w:r w:rsidRPr="00887D79">
          <w:rPr>
            <w:rStyle w:val="Hyperlink"/>
            <w:rFonts w:cstheme="minorHAnsi"/>
            <w:bCs w:val="0"/>
            <w:lang w:val="en-US"/>
          </w:rPr>
          <w:t>http://www.cqc.org.uk/sites/default/files/20141120_doc_fppf_final_nhs_provider_guidance_v1-0.pdf</w:t>
        </w:r>
      </w:hyperlink>
      <w:r w:rsidRPr="00887D79">
        <w:rPr>
          <w:rFonts w:cstheme="minorHAnsi"/>
          <w:bCs w:val="0"/>
          <w:lang w:val="en-US"/>
        </w:rPr>
        <w:t xml:space="preserve">  </w:t>
      </w:r>
    </w:p>
    <w:p w:rsidR="00887D79" w:rsidRPr="00887D79" w:rsidRDefault="00887D79" w:rsidP="00DF0A1A">
      <w:pPr>
        <w:autoSpaceDE w:val="0"/>
        <w:autoSpaceDN w:val="0"/>
        <w:adjustRightInd w:val="0"/>
        <w:spacing w:after="120"/>
        <w:rPr>
          <w:rFonts w:cstheme="minorHAnsi"/>
          <w:bCs w:val="0"/>
          <w:lang w:val="en-US"/>
        </w:rPr>
      </w:pPr>
      <w:r w:rsidRPr="00887D79">
        <w:rPr>
          <w:rFonts w:cstheme="minorHAnsi"/>
          <w:bCs w:val="0"/>
          <w:lang w:val="en-US"/>
        </w:rPr>
        <w:t xml:space="preserve">NB: not all </w:t>
      </w:r>
      <w:r>
        <w:rPr>
          <w:rFonts w:cstheme="minorHAnsi"/>
          <w:bCs w:val="0"/>
          <w:lang w:val="en-US"/>
        </w:rPr>
        <w:t>‘notifiable incidents’</w:t>
      </w:r>
      <w:r w:rsidR="00686737">
        <w:rPr>
          <w:rFonts w:cstheme="minorHAnsi"/>
          <w:bCs w:val="0"/>
          <w:lang w:val="en-US"/>
        </w:rPr>
        <w:t xml:space="preserve"> will meet the threshold for</w:t>
      </w:r>
      <w:r>
        <w:rPr>
          <w:rFonts w:cstheme="minorHAnsi"/>
          <w:bCs w:val="0"/>
          <w:lang w:val="en-US"/>
        </w:rPr>
        <w:t xml:space="preserve"> a serious incident</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Equipment </w:t>
      </w:r>
      <w:r>
        <w:rPr>
          <w:rFonts w:cstheme="minorHAnsi"/>
          <w:b/>
          <w:bCs w:val="0"/>
          <w:lang w:val="en-US"/>
        </w:rPr>
        <w:t xml:space="preserve">- </w:t>
      </w:r>
      <w:r w:rsidRPr="008F75C0">
        <w:rPr>
          <w:rFonts w:cstheme="minorHAnsi"/>
          <w:lang w:val="en-US"/>
        </w:rPr>
        <w:t>Machines and medical devices used to help, prevent, treat or monitor a person’s condition or illness. The term may also be used to refer to aids that may support a person’s care, treatment, support, mobility or independence, for example, a walking frame, hoist, or furniture and fittings. It excludes machinery or engineering systems that are physically affixed and integrated into the premises.</w:t>
      </w:r>
    </w:p>
    <w:p w:rsidR="00DF0A1A" w:rsidRPr="008F75C0" w:rsidRDefault="00DF0A1A" w:rsidP="00DF0A1A">
      <w:pPr>
        <w:autoSpaceDE w:val="0"/>
        <w:autoSpaceDN w:val="0"/>
        <w:adjustRightInd w:val="0"/>
        <w:spacing w:after="120"/>
        <w:rPr>
          <w:rFonts w:cstheme="minorHAnsi"/>
          <w:b/>
          <w:bCs w:val="0"/>
          <w:lang w:val="en-US"/>
        </w:rPr>
      </w:pPr>
      <w:r w:rsidRPr="008F75C0">
        <w:rPr>
          <w:rFonts w:cstheme="minorHAnsi"/>
          <w:b/>
          <w:bCs w:val="0"/>
          <w:lang w:val="en-US"/>
        </w:rPr>
        <w:t xml:space="preserve">General Practitioner </w:t>
      </w:r>
      <w:r>
        <w:rPr>
          <w:rFonts w:cstheme="minorHAnsi"/>
          <w:b/>
          <w:bCs w:val="0"/>
          <w:lang w:val="en-US"/>
        </w:rPr>
        <w:t xml:space="preserve">- </w:t>
      </w:r>
      <w:r w:rsidRPr="008F75C0">
        <w:rPr>
          <w:rFonts w:cstheme="minorHAnsi"/>
          <w:lang w:val="en-US"/>
        </w:rPr>
        <w:t>A medical practitioner who provides primary care to meet the general health needs of a registered population. General practitioners treat acute and chronic illnesses and provide preventative care and health education for all ages.</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lastRenderedPageBreak/>
        <w:t xml:space="preserve">Healthcare </w:t>
      </w:r>
      <w:r>
        <w:rPr>
          <w:rFonts w:cstheme="minorHAnsi"/>
          <w:b/>
          <w:bCs w:val="0"/>
          <w:lang w:val="en-US"/>
        </w:rPr>
        <w:t xml:space="preserve">- </w:t>
      </w:r>
      <w:r w:rsidRPr="008F75C0">
        <w:rPr>
          <w:rFonts w:cstheme="minorHAnsi"/>
          <w:lang w:val="en-US"/>
        </w:rPr>
        <w:t>The preservation of mental and physical health by preventing or treating illness through services offered by the health professions, including those working in social care settings.</w:t>
      </w:r>
    </w:p>
    <w:p w:rsidR="00DF0A1A" w:rsidRPr="008F75C0" w:rsidRDefault="00DF0A1A" w:rsidP="00DF0A1A">
      <w:pPr>
        <w:autoSpaceDE w:val="0"/>
        <w:autoSpaceDN w:val="0"/>
        <w:adjustRightInd w:val="0"/>
        <w:spacing w:after="120"/>
        <w:rPr>
          <w:rFonts w:cstheme="minorHAnsi"/>
          <w:b/>
          <w:bCs w:val="0"/>
          <w:lang w:val="en-US"/>
        </w:rPr>
      </w:pPr>
      <w:r w:rsidRPr="008F75C0">
        <w:rPr>
          <w:rFonts w:cstheme="minorHAnsi"/>
          <w:b/>
          <w:bCs w:val="0"/>
          <w:lang w:val="en-US"/>
        </w:rPr>
        <w:t xml:space="preserve">Healthcare Professional </w:t>
      </w:r>
      <w:r>
        <w:rPr>
          <w:rFonts w:cstheme="minorHAnsi"/>
          <w:b/>
          <w:bCs w:val="0"/>
          <w:lang w:val="en-US"/>
        </w:rPr>
        <w:t xml:space="preserve">- </w:t>
      </w:r>
      <w:r w:rsidRPr="008F75C0">
        <w:rPr>
          <w:rFonts w:cstheme="minorHAnsi"/>
          <w:lang w:val="en-US"/>
        </w:rPr>
        <w:t>Doctor, dentist, nurse, pharmacist, optometrist, allied healthcare professional or registered alternative healthcare practitioner.</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Incident </w:t>
      </w:r>
      <w:r>
        <w:rPr>
          <w:rFonts w:cstheme="minorHAnsi"/>
          <w:b/>
          <w:bCs w:val="0"/>
          <w:lang w:val="en-US"/>
        </w:rPr>
        <w:t xml:space="preserve">- </w:t>
      </w:r>
      <w:r w:rsidRPr="00510F9C">
        <w:rPr>
          <w:rFonts w:cstheme="minorHAnsi"/>
          <w:bCs w:val="0"/>
          <w:lang w:val="en-US"/>
        </w:rPr>
        <w:t>a</w:t>
      </w:r>
      <w:r w:rsidRPr="008F75C0">
        <w:rPr>
          <w:rFonts w:cstheme="minorHAnsi"/>
          <w:lang w:val="en-US"/>
        </w:rPr>
        <w:t>n event or circumstance that could have resulted, or did result, in unnecessary damage, loss or harm such as physical or mental injury to a patient, staff, visitors or members of the public.</w:t>
      </w:r>
    </w:p>
    <w:p w:rsidR="00DF0A1A" w:rsidRPr="008F75C0" w:rsidRDefault="00DF0A1A" w:rsidP="00DF0A1A">
      <w:pPr>
        <w:autoSpaceDE w:val="0"/>
        <w:autoSpaceDN w:val="0"/>
        <w:adjustRightInd w:val="0"/>
        <w:spacing w:after="120"/>
        <w:rPr>
          <w:rFonts w:cstheme="minorHAnsi"/>
          <w:b/>
          <w:bCs w:val="0"/>
          <w:lang w:val="en-US"/>
        </w:rPr>
      </w:pPr>
      <w:r w:rsidRPr="008F75C0">
        <w:rPr>
          <w:rFonts w:cstheme="minorHAnsi"/>
          <w:b/>
          <w:bCs w:val="0"/>
          <w:lang w:val="en-US"/>
        </w:rPr>
        <w:t>Independent Healthcare</w:t>
      </w:r>
      <w:r>
        <w:rPr>
          <w:rFonts w:cstheme="minorHAnsi"/>
          <w:b/>
          <w:bCs w:val="0"/>
          <w:lang w:val="en-US"/>
        </w:rPr>
        <w:t xml:space="preserve"> - </w:t>
      </w:r>
      <w:r w:rsidRPr="00510F9C">
        <w:rPr>
          <w:rFonts w:cstheme="minorHAnsi"/>
          <w:bCs w:val="0"/>
          <w:lang w:val="en-US"/>
        </w:rPr>
        <w:t>p</w:t>
      </w:r>
      <w:r w:rsidRPr="00510F9C">
        <w:rPr>
          <w:rFonts w:cstheme="minorHAnsi"/>
          <w:lang w:val="en-US"/>
        </w:rPr>
        <w:t>r</w:t>
      </w:r>
      <w:r w:rsidRPr="008F75C0">
        <w:rPr>
          <w:rFonts w:cstheme="minorHAnsi"/>
          <w:lang w:val="en-US"/>
        </w:rPr>
        <w:t xml:space="preserve">ivate, voluntary and not-for-profit healthcare </w:t>
      </w:r>
      <w:r w:rsidRPr="008F75C0">
        <w:rPr>
          <w:rFonts w:cstheme="minorHAnsi"/>
        </w:rPr>
        <w:t>organisations</w:t>
      </w:r>
      <w:r w:rsidRPr="008F75C0">
        <w:rPr>
          <w:rFonts w:cstheme="minorHAnsi"/>
          <w:lang w:val="en-US"/>
        </w:rPr>
        <w:t xml:space="preserve"> that are not part of the NHS.</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Investigation</w:t>
      </w:r>
      <w:r>
        <w:rPr>
          <w:rFonts w:cstheme="minorHAnsi"/>
          <w:b/>
          <w:bCs w:val="0"/>
          <w:lang w:val="en-US"/>
        </w:rPr>
        <w:t xml:space="preserve"> - </w:t>
      </w:r>
      <w:r w:rsidRPr="008F75C0">
        <w:rPr>
          <w:rFonts w:cstheme="minorHAnsi"/>
          <w:lang w:val="en-US"/>
        </w:rPr>
        <w:t>act or process of investigating – a detailed enquiry or systematic examination.</w:t>
      </w:r>
    </w:p>
    <w:p w:rsidR="00DF0A1A" w:rsidRPr="00510F9C"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Major surgery </w:t>
      </w:r>
      <w:r w:rsidRPr="008F75C0">
        <w:rPr>
          <w:rFonts w:cstheme="minorHAnsi"/>
          <w:lang w:val="en-US"/>
        </w:rPr>
        <w:t xml:space="preserve">– a surgical operation within or upon the contents of the abdominal or pelvic, cranial or thoracic cavities or a procedure which, given the locality, condition of patient, level of difficulty, or length of time to perform, constitutes a hazard to life or function of an organ, or tissue (if an extensive </w:t>
      </w:r>
      <w:r w:rsidRPr="008F75C0">
        <w:rPr>
          <w:rFonts w:cstheme="minorHAnsi"/>
        </w:rPr>
        <w:t>orthopaedic</w:t>
      </w:r>
      <w:r w:rsidRPr="008F75C0">
        <w:rPr>
          <w:rFonts w:cstheme="minorHAnsi"/>
          <w:lang w:val="en-US"/>
        </w:rPr>
        <w:t xml:space="preserve"> procedure is involved, the </w:t>
      </w:r>
      <w:r>
        <w:rPr>
          <w:rFonts w:cstheme="minorHAnsi"/>
          <w:lang w:val="en-US"/>
        </w:rPr>
        <w:t>surgery is considered ‘major’).</w:t>
      </w:r>
    </w:p>
    <w:p w:rsidR="00DF0A1A" w:rsidRPr="008F75C0" w:rsidRDefault="00DF0A1A" w:rsidP="00DF0A1A">
      <w:pPr>
        <w:autoSpaceDE w:val="0"/>
        <w:autoSpaceDN w:val="0"/>
        <w:adjustRightInd w:val="0"/>
        <w:rPr>
          <w:rFonts w:cstheme="minorHAnsi"/>
          <w:lang w:val="en-US"/>
        </w:rPr>
      </w:pPr>
      <w:r w:rsidRPr="008F75C0">
        <w:rPr>
          <w:rFonts w:cstheme="minorHAnsi"/>
          <w:b/>
          <w:bCs w:val="0"/>
          <w:lang w:val="en-US"/>
        </w:rPr>
        <w:t xml:space="preserve">Medical Device - </w:t>
      </w:r>
      <w:r w:rsidRPr="008F75C0">
        <w:rPr>
          <w:rFonts w:cstheme="minorHAnsi"/>
          <w:lang w:val="en-US"/>
        </w:rPr>
        <w:t xml:space="preserve">Any instrument, apparatus, appliance, software, material or other article (whether used alone or in combination) (including software intended by its manufacturer to be used for diagnostic and/or therapeutic purposes and necessary for its proper application), intended by the manufacturer to be used for the purpose of: </w:t>
      </w:r>
    </w:p>
    <w:p w:rsidR="00DF0A1A" w:rsidRPr="008F75C0" w:rsidRDefault="00DF0A1A" w:rsidP="0072371B">
      <w:pPr>
        <w:numPr>
          <w:ilvl w:val="0"/>
          <w:numId w:val="68"/>
        </w:numPr>
        <w:autoSpaceDE w:val="0"/>
        <w:autoSpaceDN w:val="0"/>
        <w:adjustRightInd w:val="0"/>
        <w:rPr>
          <w:rFonts w:cstheme="minorHAnsi"/>
        </w:rPr>
      </w:pPr>
      <w:r w:rsidRPr="008F75C0">
        <w:rPr>
          <w:rFonts w:cstheme="minorHAnsi"/>
        </w:rPr>
        <w:t>diagnosis, prevention, monitoring, treatment or alleviation of disease;</w:t>
      </w:r>
    </w:p>
    <w:p w:rsidR="00DF0A1A" w:rsidRPr="008F75C0" w:rsidRDefault="00DF0A1A" w:rsidP="0072371B">
      <w:pPr>
        <w:numPr>
          <w:ilvl w:val="0"/>
          <w:numId w:val="68"/>
        </w:numPr>
        <w:autoSpaceDE w:val="0"/>
        <w:autoSpaceDN w:val="0"/>
        <w:adjustRightInd w:val="0"/>
        <w:rPr>
          <w:rFonts w:cstheme="minorHAnsi"/>
        </w:rPr>
      </w:pPr>
      <w:r w:rsidRPr="008F75C0">
        <w:rPr>
          <w:rFonts w:cstheme="minorHAnsi"/>
        </w:rPr>
        <w:t>diagnosis, monitoring, alleviation of or compensation for an injury or disability;</w:t>
      </w:r>
    </w:p>
    <w:p w:rsidR="00DF0A1A" w:rsidRPr="008F75C0" w:rsidRDefault="00DF0A1A" w:rsidP="0072371B">
      <w:pPr>
        <w:numPr>
          <w:ilvl w:val="0"/>
          <w:numId w:val="68"/>
        </w:numPr>
        <w:autoSpaceDE w:val="0"/>
        <w:autoSpaceDN w:val="0"/>
        <w:adjustRightInd w:val="0"/>
        <w:rPr>
          <w:rFonts w:cstheme="minorHAnsi"/>
        </w:rPr>
      </w:pPr>
      <w:r w:rsidRPr="008F75C0">
        <w:rPr>
          <w:rFonts w:cstheme="minorHAnsi"/>
        </w:rPr>
        <w:t>investigation, replacement or modification of the anatomy of a physiological process;</w:t>
      </w:r>
    </w:p>
    <w:p w:rsidR="00DF0A1A" w:rsidRPr="008F75C0" w:rsidRDefault="00DF0A1A" w:rsidP="0072371B">
      <w:pPr>
        <w:numPr>
          <w:ilvl w:val="0"/>
          <w:numId w:val="68"/>
        </w:numPr>
        <w:autoSpaceDE w:val="0"/>
        <w:autoSpaceDN w:val="0"/>
        <w:adjustRightInd w:val="0"/>
        <w:rPr>
          <w:rFonts w:cstheme="minorHAnsi"/>
        </w:rPr>
      </w:pPr>
      <w:r w:rsidRPr="008F75C0">
        <w:rPr>
          <w:rFonts w:cstheme="minorHAnsi"/>
        </w:rPr>
        <w:t>control of conception</w:t>
      </w:r>
    </w:p>
    <w:p w:rsidR="00DF0A1A" w:rsidRDefault="00DF0A1A" w:rsidP="00DF0A1A">
      <w:pPr>
        <w:autoSpaceDE w:val="0"/>
        <w:autoSpaceDN w:val="0"/>
        <w:adjustRightInd w:val="0"/>
        <w:rPr>
          <w:rFonts w:cstheme="minorHAnsi"/>
          <w:lang w:val="en-US"/>
        </w:rPr>
      </w:pPr>
      <w:r w:rsidRPr="008F75C0">
        <w:rPr>
          <w:rFonts w:cstheme="minorHAnsi"/>
          <w:lang w:val="en-US"/>
        </w:rPr>
        <w:t>and which does not achieve its physical intended action on the human body by pharmacological, immunological or metabolic means, but may be assisted</w:t>
      </w:r>
      <w:r>
        <w:rPr>
          <w:rFonts w:cstheme="minorHAnsi"/>
          <w:lang w:val="en-US"/>
        </w:rPr>
        <w:t xml:space="preserve"> in its function by such means.</w:t>
      </w:r>
    </w:p>
    <w:p w:rsidR="00DF0A1A" w:rsidRPr="008F75C0" w:rsidRDefault="00DF0A1A" w:rsidP="00DF0A1A">
      <w:pPr>
        <w:autoSpaceDE w:val="0"/>
        <w:autoSpaceDN w:val="0"/>
        <w:adjustRightInd w:val="0"/>
        <w:rPr>
          <w:rFonts w:cstheme="minorHAnsi"/>
          <w:lang w:val="en-US"/>
        </w:rPr>
      </w:pP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Never Events </w:t>
      </w:r>
      <w:r w:rsidRPr="003F1D4F">
        <w:rPr>
          <w:rFonts w:cstheme="minorHAnsi"/>
          <w:b/>
          <w:bCs w:val="0"/>
          <w:lang w:val="en-US"/>
        </w:rPr>
        <w:t xml:space="preserve">- </w:t>
      </w:r>
      <w:r w:rsidR="00325D8A" w:rsidRPr="004E1A7A">
        <w:rPr>
          <w:rFonts w:cs="Arial"/>
          <w:szCs w:val="24"/>
        </w:rPr>
        <w:t>Never Events arise from failure of strong systemic protective barriers which can be defined as successful, reliable and compr</w:t>
      </w:r>
      <w:r w:rsidR="00325D8A">
        <w:rPr>
          <w:rFonts w:cs="Arial"/>
          <w:szCs w:val="24"/>
        </w:rPr>
        <w:t xml:space="preserve">ehensive safeguards or remedies </w:t>
      </w:r>
      <w:r w:rsidR="00325D8A" w:rsidRPr="004E1A7A">
        <w:rPr>
          <w:rFonts w:cs="Arial"/>
          <w:szCs w:val="24"/>
        </w:rPr>
        <w:t xml:space="preserve">e.g. a uniquely designed connector to prevent administration </w:t>
      </w:r>
      <w:r w:rsidR="00325D8A">
        <w:rPr>
          <w:rFonts w:cs="Arial"/>
          <w:szCs w:val="24"/>
        </w:rPr>
        <w:t xml:space="preserve">of a medicine via the incorrect </w:t>
      </w:r>
      <w:r w:rsidR="00325D8A" w:rsidRPr="004E1A7A">
        <w:rPr>
          <w:rFonts w:cs="Arial"/>
          <w:szCs w:val="24"/>
        </w:rPr>
        <w:t xml:space="preserve">route - for which the importance, </w:t>
      </w:r>
      <w:r w:rsidR="00325D8A">
        <w:rPr>
          <w:rFonts w:cs="Arial"/>
          <w:szCs w:val="24"/>
        </w:rPr>
        <w:t xml:space="preserve">rationale and good practice use </w:t>
      </w:r>
      <w:r w:rsidR="00325D8A" w:rsidRPr="004E1A7A">
        <w:rPr>
          <w:rFonts w:cs="Arial"/>
          <w:szCs w:val="24"/>
        </w:rPr>
        <w:t>should be known to, fully understood by, and robustly sustained throug</w:t>
      </w:r>
      <w:r w:rsidR="00325D8A">
        <w:rPr>
          <w:rFonts w:cs="Arial"/>
          <w:szCs w:val="24"/>
        </w:rPr>
        <w:t xml:space="preserve">hout the system from suppliers, </w:t>
      </w:r>
      <w:r w:rsidR="00325D8A" w:rsidRPr="004E1A7A">
        <w:rPr>
          <w:rFonts w:cs="Arial"/>
          <w:szCs w:val="24"/>
        </w:rPr>
        <w:t>procurers, requisitioners, training units, and front line staff</w:t>
      </w:r>
      <w:r w:rsidR="00325D8A">
        <w:rPr>
          <w:rFonts w:cs="Arial"/>
          <w:szCs w:val="24"/>
        </w:rPr>
        <w:t xml:space="preserve"> </w:t>
      </w:r>
      <w:r w:rsidR="00325D8A" w:rsidRPr="004E1A7A">
        <w:rPr>
          <w:rFonts w:cs="Arial"/>
          <w:szCs w:val="24"/>
        </w:rPr>
        <w:t>alike.</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NHS-Funded Healthcare </w:t>
      </w:r>
      <w:r>
        <w:rPr>
          <w:rFonts w:cstheme="minorHAnsi"/>
          <w:b/>
          <w:bCs w:val="0"/>
          <w:lang w:val="en-US"/>
        </w:rPr>
        <w:t xml:space="preserve">- </w:t>
      </w:r>
      <w:r w:rsidRPr="008F75C0">
        <w:rPr>
          <w:rFonts w:cstheme="minorHAnsi"/>
          <w:lang w:val="en-US"/>
        </w:rPr>
        <w:t>Healthcare that is partially or fully funded by the NHS, regardless of the provider or location.</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Notification </w:t>
      </w:r>
      <w:r>
        <w:rPr>
          <w:rFonts w:cstheme="minorHAnsi"/>
          <w:b/>
          <w:bCs w:val="0"/>
          <w:lang w:val="en-US"/>
        </w:rPr>
        <w:t xml:space="preserve">- </w:t>
      </w:r>
      <w:r w:rsidRPr="008F75C0">
        <w:rPr>
          <w:rFonts w:cstheme="minorHAnsi"/>
          <w:lang w:val="en-US"/>
        </w:rPr>
        <w:t xml:space="preserve">The act of notifying to one or more </w:t>
      </w:r>
      <w:r w:rsidRPr="008F75C0">
        <w:rPr>
          <w:rFonts w:cstheme="minorHAnsi"/>
        </w:rPr>
        <w:t>organisations</w:t>
      </w:r>
      <w:r w:rsidRPr="008F75C0">
        <w:rPr>
          <w:rFonts w:cstheme="minorHAnsi"/>
          <w:lang w:val="en-US"/>
        </w:rPr>
        <w:t>/bodies.</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Patient Safety </w:t>
      </w:r>
      <w:r>
        <w:rPr>
          <w:rFonts w:cstheme="minorHAnsi"/>
          <w:b/>
          <w:bCs w:val="0"/>
          <w:lang w:val="en-US"/>
        </w:rPr>
        <w:t xml:space="preserve">- </w:t>
      </w:r>
      <w:r w:rsidRPr="008F75C0">
        <w:rPr>
          <w:rFonts w:cstheme="minorHAnsi"/>
          <w:lang w:val="en-US"/>
        </w:rPr>
        <w:t xml:space="preserve">The process by which an organisation makes patient care safer. This should involve risk assessment, the identification and management of patient-related risks, the reporting and analysis of incidents, and the capacity to learn from and follow-up on incidents and implement solutions to minimise the risk of them </w:t>
      </w:r>
      <w:r w:rsidRPr="008F75C0">
        <w:rPr>
          <w:rFonts w:cstheme="minorHAnsi"/>
          <w:lang w:val="en-US"/>
        </w:rPr>
        <w:lastRenderedPageBreak/>
        <w:t>recurring. The term ‘patient safety’ is replacing ‘clinical risk’, ‘non-clinical risk’ and the ‘health and safety of patients’.</w:t>
      </w:r>
    </w:p>
    <w:p w:rsidR="00DF0A1A" w:rsidRPr="008F75C0" w:rsidRDefault="00DF0A1A" w:rsidP="00DF0A1A">
      <w:pPr>
        <w:autoSpaceDE w:val="0"/>
        <w:autoSpaceDN w:val="0"/>
        <w:adjustRightInd w:val="0"/>
        <w:spacing w:after="120"/>
        <w:rPr>
          <w:rFonts w:cstheme="minorHAnsi"/>
          <w:b/>
          <w:bCs w:val="0"/>
          <w:lang w:val="en-US"/>
        </w:rPr>
      </w:pPr>
      <w:r w:rsidRPr="008F75C0">
        <w:rPr>
          <w:rFonts w:cstheme="minorHAnsi"/>
          <w:b/>
          <w:bCs w:val="0"/>
          <w:lang w:val="en-US"/>
        </w:rPr>
        <w:t xml:space="preserve">Patient Safety Incident </w:t>
      </w:r>
      <w:r>
        <w:rPr>
          <w:rFonts w:cstheme="minorHAnsi"/>
          <w:b/>
          <w:bCs w:val="0"/>
          <w:lang w:val="en-US"/>
        </w:rPr>
        <w:t xml:space="preserve">- </w:t>
      </w:r>
      <w:r w:rsidRPr="008F75C0">
        <w:rPr>
          <w:rFonts w:cstheme="minorHAnsi"/>
          <w:lang w:val="en-US"/>
        </w:rPr>
        <w:t xml:space="preserve">Any unintended or unexpected incident that could have led or did lead to harm for one or more patients receiving NHS-funded healthcare. </w:t>
      </w:r>
    </w:p>
    <w:p w:rsidR="00DF0A1A" w:rsidRPr="008F75C0" w:rsidRDefault="00DF0A1A" w:rsidP="00DF0A1A">
      <w:pPr>
        <w:autoSpaceDE w:val="0"/>
        <w:autoSpaceDN w:val="0"/>
        <w:adjustRightInd w:val="0"/>
        <w:spacing w:after="120"/>
        <w:rPr>
          <w:rFonts w:cstheme="minorHAnsi"/>
          <w:b/>
          <w:bCs w:val="0"/>
          <w:lang w:val="en-US"/>
        </w:rPr>
      </w:pPr>
      <w:r w:rsidRPr="008F75C0">
        <w:rPr>
          <w:rFonts w:cstheme="minorHAnsi"/>
          <w:b/>
          <w:bCs w:val="0"/>
          <w:lang w:val="en-US"/>
        </w:rPr>
        <w:t xml:space="preserve">Permanent Harm </w:t>
      </w:r>
      <w:r>
        <w:rPr>
          <w:rFonts w:cstheme="minorHAnsi"/>
          <w:b/>
          <w:bCs w:val="0"/>
          <w:lang w:val="en-US"/>
        </w:rPr>
        <w:t xml:space="preserve">- </w:t>
      </w:r>
      <w:r w:rsidRPr="008F75C0">
        <w:rPr>
          <w:rFonts w:cstheme="minorHAnsi"/>
          <w:lang w:val="en-US"/>
        </w:rPr>
        <w:t>Permanent lessening of bodily functions, including sensory, motor, physiological or intellectual.</w:t>
      </w:r>
    </w:p>
    <w:p w:rsidR="00DF0A1A" w:rsidRPr="00510F9C" w:rsidRDefault="00DF0A1A" w:rsidP="00DF0A1A">
      <w:pPr>
        <w:autoSpaceDE w:val="0"/>
        <w:autoSpaceDN w:val="0"/>
        <w:adjustRightInd w:val="0"/>
        <w:spacing w:after="120"/>
        <w:rPr>
          <w:rFonts w:cstheme="minorHAnsi"/>
          <w:lang w:val="en-US"/>
        </w:rPr>
      </w:pPr>
      <w:r w:rsidRPr="008F75C0">
        <w:rPr>
          <w:rFonts w:cstheme="minorHAnsi"/>
          <w:b/>
          <w:lang w:val="en-US"/>
        </w:rPr>
        <w:t xml:space="preserve">Primary Care </w:t>
      </w:r>
      <w:r>
        <w:rPr>
          <w:rFonts w:cstheme="minorHAnsi"/>
          <w:b/>
          <w:lang w:val="en-US"/>
        </w:rPr>
        <w:t xml:space="preserve">- </w:t>
      </w:r>
      <w:r>
        <w:rPr>
          <w:rFonts w:cstheme="minorHAnsi"/>
          <w:lang w:val="en-US"/>
        </w:rPr>
        <w:t>R</w:t>
      </w:r>
      <w:r w:rsidRPr="008F75C0">
        <w:rPr>
          <w:rFonts w:cstheme="minorHAnsi"/>
          <w:lang w:val="en-US"/>
        </w:rPr>
        <w:t xml:space="preserve">efers to services provided by GP practices, dental practices, community pharmacies and high street optometrists and commissioned by the NHS </w:t>
      </w:r>
      <w:r>
        <w:rPr>
          <w:rFonts w:cstheme="minorHAnsi"/>
          <w:lang w:val="en-US"/>
        </w:rPr>
        <w:t>England from April 2013</w:t>
      </w:r>
    </w:p>
    <w:p w:rsidR="00DF0A1A" w:rsidRPr="008F75C0" w:rsidRDefault="00DF0A1A" w:rsidP="00DF0A1A">
      <w:pPr>
        <w:autoSpaceDE w:val="0"/>
        <w:autoSpaceDN w:val="0"/>
        <w:adjustRightInd w:val="0"/>
        <w:spacing w:after="120"/>
        <w:rPr>
          <w:rFonts w:cstheme="minorHAnsi"/>
          <w:b/>
          <w:bCs w:val="0"/>
          <w:lang w:val="en-US"/>
        </w:rPr>
      </w:pPr>
      <w:r w:rsidRPr="008F75C0">
        <w:rPr>
          <w:rFonts w:cstheme="minorHAnsi"/>
          <w:b/>
          <w:bCs w:val="0"/>
          <w:lang w:val="en-US"/>
        </w:rPr>
        <w:t xml:space="preserve">Professional Body </w:t>
      </w:r>
      <w:r>
        <w:rPr>
          <w:rFonts w:cstheme="minorHAnsi"/>
          <w:b/>
          <w:bCs w:val="0"/>
          <w:lang w:val="en-US"/>
        </w:rPr>
        <w:t xml:space="preserve">- </w:t>
      </w:r>
      <w:r>
        <w:rPr>
          <w:rFonts w:cstheme="minorHAnsi"/>
          <w:lang w:val="en-US"/>
        </w:rPr>
        <w:t>An</w:t>
      </w:r>
      <w:r w:rsidRPr="008F75C0">
        <w:rPr>
          <w:rFonts w:cstheme="minorHAnsi"/>
          <w:lang w:val="en-US"/>
        </w:rPr>
        <w:t xml:space="preserve"> organisation that exists to further a profession and to protect both the public interest, by maintaining and enforcing standards of training and ethics in their profession, and the interest of its professional members.</w:t>
      </w:r>
    </w:p>
    <w:p w:rsidR="00DF0A1A" w:rsidRPr="008F75C0" w:rsidRDefault="00DF0A1A" w:rsidP="00DF0A1A">
      <w:pPr>
        <w:autoSpaceDE w:val="0"/>
        <w:autoSpaceDN w:val="0"/>
        <w:adjustRightInd w:val="0"/>
        <w:spacing w:after="120"/>
        <w:rPr>
          <w:rFonts w:cstheme="minorHAnsi"/>
          <w:b/>
          <w:bCs w:val="0"/>
          <w:lang w:val="en-US"/>
        </w:rPr>
      </w:pPr>
      <w:r w:rsidRPr="008F75C0">
        <w:rPr>
          <w:rFonts w:cstheme="minorHAnsi"/>
          <w:b/>
          <w:bCs w:val="0"/>
          <w:lang w:val="en-US"/>
        </w:rPr>
        <w:t xml:space="preserve">Provider (or Healthcare provider) </w:t>
      </w:r>
      <w:r>
        <w:rPr>
          <w:rFonts w:cstheme="minorHAnsi"/>
          <w:b/>
          <w:bCs w:val="0"/>
          <w:lang w:val="en-US"/>
        </w:rPr>
        <w:t xml:space="preserve">- </w:t>
      </w:r>
      <w:r>
        <w:rPr>
          <w:rFonts w:cstheme="minorHAnsi"/>
          <w:bCs w:val="0"/>
          <w:lang w:val="en-US"/>
        </w:rPr>
        <w:t>O</w:t>
      </w:r>
      <w:r w:rsidRPr="008F75C0">
        <w:rPr>
          <w:rFonts w:cstheme="minorHAnsi"/>
          <w:lang w:val="en-US"/>
        </w:rPr>
        <w:t>rganisation that provides healthcare including NHS trusts, NHS Foundation Trusts, general medical practices, community pharmacies, optometrists, general dental practices and non-NHS providers.</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Risk </w:t>
      </w:r>
      <w:r>
        <w:rPr>
          <w:rFonts w:cstheme="minorHAnsi"/>
          <w:b/>
          <w:bCs w:val="0"/>
          <w:lang w:val="en-US"/>
        </w:rPr>
        <w:t xml:space="preserve">- </w:t>
      </w:r>
      <w:r w:rsidRPr="008F75C0">
        <w:rPr>
          <w:rFonts w:cstheme="minorHAnsi"/>
          <w:lang w:val="en-US"/>
        </w:rPr>
        <w:t>The chance of something happening that will have an</w:t>
      </w:r>
      <w:r w:rsidR="00C77C87">
        <w:rPr>
          <w:rFonts w:cstheme="minorHAnsi"/>
          <w:lang w:val="en-US"/>
        </w:rPr>
        <w:t xml:space="preserve"> undesirable</w:t>
      </w:r>
      <w:r w:rsidRPr="008F75C0">
        <w:rPr>
          <w:rFonts w:cstheme="minorHAnsi"/>
          <w:lang w:val="en-US"/>
        </w:rPr>
        <w:t xml:space="preserve"> impact on individuals and/or </w:t>
      </w:r>
      <w:r w:rsidRPr="008F75C0">
        <w:rPr>
          <w:rFonts w:cstheme="minorHAnsi"/>
        </w:rPr>
        <w:t>organisations</w:t>
      </w:r>
      <w:r w:rsidRPr="008F75C0">
        <w:rPr>
          <w:rFonts w:cstheme="minorHAnsi"/>
          <w:lang w:val="en-US"/>
        </w:rPr>
        <w:t>. It is measured in terms of likelihood and consequences.</w:t>
      </w:r>
    </w:p>
    <w:p w:rsidR="00DF0A1A" w:rsidRPr="008F75C0" w:rsidRDefault="00DF0A1A" w:rsidP="00DF0A1A">
      <w:pPr>
        <w:autoSpaceDE w:val="0"/>
        <w:autoSpaceDN w:val="0"/>
        <w:adjustRightInd w:val="0"/>
        <w:spacing w:after="120"/>
        <w:rPr>
          <w:rFonts w:cstheme="minorHAnsi"/>
          <w:b/>
          <w:bCs w:val="0"/>
          <w:lang w:val="en-US"/>
        </w:rPr>
      </w:pPr>
      <w:r w:rsidRPr="008F75C0">
        <w:rPr>
          <w:rFonts w:cstheme="minorHAnsi"/>
          <w:b/>
          <w:bCs w:val="0"/>
          <w:lang w:val="en-US"/>
        </w:rPr>
        <w:t>Risk Management</w:t>
      </w:r>
      <w:r>
        <w:rPr>
          <w:rFonts w:cstheme="minorHAnsi"/>
          <w:b/>
          <w:bCs w:val="0"/>
          <w:lang w:val="en-US"/>
        </w:rPr>
        <w:t xml:space="preserve"> -</w:t>
      </w:r>
      <w:r w:rsidRPr="008F75C0">
        <w:rPr>
          <w:rFonts w:cstheme="minorHAnsi"/>
          <w:b/>
          <w:bCs w:val="0"/>
          <w:lang w:val="en-US"/>
        </w:rPr>
        <w:t xml:space="preserve"> </w:t>
      </w:r>
      <w:r w:rsidRPr="008F75C0">
        <w:rPr>
          <w:rFonts w:cstheme="minorHAnsi"/>
          <w:lang w:val="en-US"/>
        </w:rPr>
        <w:t>Identifying, assessing, analysing, understanding and acting on risk issues in order to reach an optimal balance of risk, benefit and cost.</w:t>
      </w:r>
    </w:p>
    <w:p w:rsidR="00DF0A1A" w:rsidRPr="008F75C0" w:rsidRDefault="00DF0A1A" w:rsidP="00DF0A1A">
      <w:pPr>
        <w:autoSpaceDE w:val="0"/>
        <w:autoSpaceDN w:val="0"/>
        <w:adjustRightInd w:val="0"/>
        <w:spacing w:after="120"/>
        <w:rPr>
          <w:rFonts w:cstheme="minorHAnsi"/>
          <w:iCs/>
          <w:lang w:val="en-US"/>
        </w:rPr>
      </w:pPr>
      <w:r w:rsidRPr="008F75C0">
        <w:rPr>
          <w:rFonts w:cstheme="minorHAnsi"/>
          <w:b/>
          <w:iCs/>
          <w:lang w:val="en-US"/>
        </w:rPr>
        <w:t>Risk Summit</w:t>
      </w:r>
      <w:r w:rsidRPr="008F75C0">
        <w:rPr>
          <w:rFonts w:cstheme="minorHAnsi"/>
          <w:iCs/>
          <w:lang w:val="en-US"/>
        </w:rPr>
        <w:t xml:space="preserve"> </w:t>
      </w:r>
      <w:r>
        <w:rPr>
          <w:rFonts w:cstheme="minorHAnsi"/>
          <w:iCs/>
          <w:lang w:val="en-US"/>
        </w:rPr>
        <w:t xml:space="preserve">- </w:t>
      </w:r>
      <w:r w:rsidRPr="008F75C0">
        <w:rPr>
          <w:rFonts w:cstheme="minorHAnsi"/>
          <w:iCs/>
          <w:lang w:val="en-US"/>
        </w:rPr>
        <w:t>A meeting of high-level leaders called to shape a programme of action, which is focused on sharing information willingly to help achieve a consensus about the situation under scrutiny and the actions required to mitigate the identified risks</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Root Cause Analysis (RCA)</w:t>
      </w:r>
      <w:r w:rsidRPr="008F75C0">
        <w:rPr>
          <w:rFonts w:cstheme="minorHAnsi"/>
          <w:lang w:val="en-US"/>
        </w:rPr>
        <w:t xml:space="preserve"> </w:t>
      </w:r>
      <w:r>
        <w:rPr>
          <w:rFonts w:cstheme="minorHAnsi"/>
          <w:lang w:val="en-US"/>
        </w:rPr>
        <w:t xml:space="preserve">- </w:t>
      </w:r>
      <w:r w:rsidRPr="008F75C0">
        <w:rPr>
          <w:rFonts w:cstheme="minorHAnsi"/>
          <w:lang w:val="en-US"/>
        </w:rPr>
        <w:t>A systematic process whereby the factors that contributed to an incident are identified. As an investigation technique for patient safety incidents, it looks beyond the individuals concerned and seeks to understand the underlying causes and environmental context in which an incident happened.</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Safety </w:t>
      </w:r>
      <w:r>
        <w:rPr>
          <w:rFonts w:cstheme="minorHAnsi"/>
          <w:b/>
          <w:bCs w:val="0"/>
          <w:lang w:val="en-US"/>
        </w:rPr>
        <w:t xml:space="preserve">- </w:t>
      </w:r>
      <w:r w:rsidRPr="008F75C0">
        <w:rPr>
          <w:rFonts w:cstheme="minorHAnsi"/>
          <w:lang w:val="en-US"/>
        </w:rPr>
        <w:t>A state in which risk has been reduced to an acceptable level.</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Safeguarding </w:t>
      </w:r>
      <w:r>
        <w:rPr>
          <w:rFonts w:cstheme="minorHAnsi"/>
          <w:b/>
          <w:bCs w:val="0"/>
          <w:lang w:val="en-US"/>
        </w:rPr>
        <w:t xml:space="preserve">- </w:t>
      </w:r>
      <w:r w:rsidRPr="008F75C0">
        <w:rPr>
          <w:rFonts w:cstheme="minorHAnsi"/>
          <w:lang w:val="en-US"/>
        </w:rPr>
        <w:t>Ensuring that people live free from harm, abuse and neglect and, in doing so, protecting their health, wellbeing and human rights. Children, and adults in vulnerable situations, need to be safeguarded. For children, safeguarding work focuses more on care and development; for adults, on empowerment, independence and choice.</w:t>
      </w:r>
    </w:p>
    <w:p w:rsidR="00DF0A1A" w:rsidRPr="008F75C0" w:rsidRDefault="00DF0A1A" w:rsidP="00DF0A1A">
      <w:pPr>
        <w:autoSpaceDE w:val="0"/>
        <w:autoSpaceDN w:val="0"/>
        <w:adjustRightInd w:val="0"/>
        <w:spacing w:after="120"/>
        <w:rPr>
          <w:rFonts w:cstheme="minorHAnsi"/>
          <w:lang w:val="en"/>
        </w:rPr>
      </w:pPr>
      <w:r w:rsidRPr="008F75C0">
        <w:rPr>
          <w:rFonts w:cstheme="minorHAnsi"/>
          <w:b/>
          <w:lang w:val="en"/>
        </w:rPr>
        <w:t>Secondary care</w:t>
      </w:r>
      <w:r w:rsidRPr="008F75C0">
        <w:rPr>
          <w:rFonts w:cstheme="minorHAnsi"/>
          <w:lang w:val="en"/>
        </w:rPr>
        <w:t xml:space="preserve"> </w:t>
      </w:r>
      <w:r>
        <w:rPr>
          <w:rFonts w:cstheme="minorHAnsi"/>
          <w:lang w:val="en"/>
        </w:rPr>
        <w:t xml:space="preserve">- </w:t>
      </w:r>
      <w:r w:rsidRPr="008F75C0">
        <w:rPr>
          <w:rFonts w:cstheme="minorHAnsi"/>
          <w:lang w:val="en"/>
        </w:rPr>
        <w:t>Defined as a service provided by specialists who generally do not have first contact with patients. Secondary care is usually delivered in hospitals or clinics and patients have usually been referred to secondary care by their primary care provider (usually their GP). Most secondary care services are commissioned by CCGs.</w:t>
      </w:r>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Severe Harm </w:t>
      </w:r>
      <w:r>
        <w:rPr>
          <w:rFonts w:cstheme="minorHAnsi"/>
          <w:b/>
          <w:bCs w:val="0"/>
          <w:lang w:val="en-US"/>
        </w:rPr>
        <w:t xml:space="preserve">- </w:t>
      </w:r>
      <w:r w:rsidRPr="008F75C0">
        <w:rPr>
          <w:rFonts w:cstheme="minorHAnsi"/>
          <w:lang w:val="en-US"/>
        </w:rPr>
        <w:t>A patient safety incident that appears to have resulted in permanent harm to one or more persons receiving NHS-funded care.</w:t>
      </w:r>
    </w:p>
    <w:p w:rsidR="00DF0A1A" w:rsidRPr="008F75C0" w:rsidRDefault="00DF0A1A" w:rsidP="00DF0A1A">
      <w:pPr>
        <w:autoSpaceDE w:val="0"/>
        <w:autoSpaceDN w:val="0"/>
        <w:adjustRightInd w:val="0"/>
        <w:spacing w:after="120"/>
        <w:rPr>
          <w:rFonts w:cstheme="minorHAnsi"/>
          <w:b/>
          <w:bCs w:val="0"/>
          <w:lang w:val="en-US"/>
        </w:rPr>
      </w:pPr>
      <w:r w:rsidRPr="008F75C0">
        <w:rPr>
          <w:rFonts w:cstheme="minorHAnsi"/>
          <w:b/>
          <w:bCs w:val="0"/>
          <w:lang w:val="en-US"/>
        </w:rPr>
        <w:t xml:space="preserve">Significant Event Audit </w:t>
      </w:r>
      <w:r>
        <w:rPr>
          <w:rFonts w:cstheme="minorHAnsi"/>
          <w:b/>
          <w:bCs w:val="0"/>
          <w:lang w:val="en-US"/>
        </w:rPr>
        <w:t xml:space="preserve">- </w:t>
      </w:r>
      <w:r w:rsidRPr="008F75C0">
        <w:rPr>
          <w:rFonts w:cstheme="minorHAnsi"/>
          <w:lang w:val="en-US"/>
        </w:rPr>
        <w:t>An audit process where data is collected on specific types of incidents that are considered important to learn about how to improve patient safety.</w:t>
      </w:r>
    </w:p>
    <w:p w:rsidR="00DF0A1A" w:rsidRPr="008F75C0" w:rsidRDefault="00DF0A1A" w:rsidP="00DF0A1A">
      <w:pPr>
        <w:autoSpaceDE w:val="0"/>
        <w:autoSpaceDN w:val="0"/>
        <w:adjustRightInd w:val="0"/>
        <w:spacing w:after="120"/>
        <w:rPr>
          <w:rFonts w:cstheme="minorHAnsi"/>
        </w:rPr>
      </w:pPr>
      <w:r w:rsidRPr="008F75C0">
        <w:rPr>
          <w:rFonts w:cstheme="minorHAnsi"/>
          <w:b/>
        </w:rPr>
        <w:lastRenderedPageBreak/>
        <w:t>Specialised services</w:t>
      </w:r>
      <w:r w:rsidRPr="008F75C0">
        <w:rPr>
          <w:rFonts w:cstheme="minorHAnsi"/>
        </w:rPr>
        <w:t xml:space="preserve"> </w:t>
      </w:r>
      <w:r>
        <w:rPr>
          <w:rFonts w:cstheme="minorHAnsi"/>
        </w:rPr>
        <w:t xml:space="preserve">- </w:t>
      </w:r>
      <w:r w:rsidRPr="008F75C0">
        <w:rPr>
          <w:rFonts w:cstheme="minorHAnsi"/>
        </w:rPr>
        <w:t xml:space="preserve">Specialised services are commissioned by </w:t>
      </w:r>
      <w:r w:rsidR="00EC53E4">
        <w:rPr>
          <w:rFonts w:cstheme="minorHAnsi"/>
        </w:rPr>
        <w:t>NHS England</w:t>
      </w:r>
      <w:r w:rsidRPr="008F75C0">
        <w:rPr>
          <w:rFonts w:cstheme="minorHAnsi"/>
        </w:rPr>
        <w:t xml:space="preserve"> and are services provided in relatively few hospitals, to catchment populations of more than one million people. The number of patients accessing these services is small, and a critical mass of patients is needed in each treatment centre in order to achieve the best outcomes and maintain the clinical competence of NHS staff. These services tend to be located in specialist hospital trusts in major towns and cities. </w:t>
      </w:r>
    </w:p>
    <w:p w:rsidR="00DF0A1A" w:rsidRPr="008F75C0" w:rsidRDefault="00DF0A1A" w:rsidP="00DF0A1A">
      <w:pPr>
        <w:autoSpaceDE w:val="0"/>
        <w:autoSpaceDN w:val="0"/>
        <w:adjustRightInd w:val="0"/>
        <w:spacing w:after="120"/>
        <w:rPr>
          <w:rFonts w:cstheme="minorHAnsi"/>
          <w:lang w:val="en-US"/>
        </w:rPr>
      </w:pPr>
      <w:r w:rsidRPr="008F75C0">
        <w:rPr>
          <w:rFonts w:cstheme="minorHAnsi"/>
          <w:b/>
          <w:lang w:val="en-US"/>
        </w:rPr>
        <w:t>Tertiary Care</w:t>
      </w:r>
      <w:r w:rsidRPr="008F75C0">
        <w:rPr>
          <w:rFonts w:cstheme="minorHAnsi"/>
          <w:lang w:val="en-US"/>
        </w:rPr>
        <w:t xml:space="preserve"> </w:t>
      </w:r>
      <w:r>
        <w:rPr>
          <w:rFonts w:cstheme="minorHAnsi"/>
          <w:lang w:val="en-US"/>
        </w:rPr>
        <w:t xml:space="preserve">- </w:t>
      </w:r>
      <w:r w:rsidRPr="008F75C0">
        <w:rPr>
          <w:rFonts w:cstheme="minorHAnsi"/>
          <w:lang w:val="en-US"/>
        </w:rPr>
        <w:t>Specialised consultative health care, usually for inpatients and on referral from a primary or secondary health professional, in a facility that has personnel and facilities for advanced medical investigation and treatment, such as a tertiary referral hospital.</w:t>
      </w:r>
      <w:hyperlink r:id="rId41" w:anchor="cite_note-11#cite_note-11" w:history="1"/>
    </w:p>
    <w:p w:rsidR="00DF0A1A" w:rsidRPr="008F75C0" w:rsidRDefault="00DF0A1A" w:rsidP="00DF0A1A">
      <w:pPr>
        <w:autoSpaceDE w:val="0"/>
        <w:autoSpaceDN w:val="0"/>
        <w:adjustRightInd w:val="0"/>
        <w:spacing w:after="120"/>
        <w:rPr>
          <w:rFonts w:cstheme="minorHAnsi"/>
          <w:lang w:val="en-US"/>
        </w:rPr>
      </w:pPr>
      <w:r w:rsidRPr="008F75C0">
        <w:rPr>
          <w:rFonts w:cstheme="minorHAnsi"/>
          <w:b/>
          <w:bCs w:val="0"/>
          <w:lang w:val="en-US"/>
        </w:rPr>
        <w:t xml:space="preserve">Treatment </w:t>
      </w:r>
      <w:r>
        <w:rPr>
          <w:rFonts w:cstheme="minorHAnsi"/>
          <w:b/>
          <w:bCs w:val="0"/>
          <w:lang w:val="en-US"/>
        </w:rPr>
        <w:t xml:space="preserve">- </w:t>
      </w:r>
      <w:r w:rsidRPr="008F75C0">
        <w:rPr>
          <w:rFonts w:cstheme="minorHAnsi"/>
          <w:lang w:val="en-US"/>
        </w:rPr>
        <w:t>Broadly, the management and care of a patient to prevent or cure disease or reduce suffering and disability.</w:t>
      </w:r>
    </w:p>
    <w:p w:rsidR="00DF0A1A" w:rsidRPr="008F75C0" w:rsidRDefault="00DF0A1A" w:rsidP="00DF0A1A">
      <w:pPr>
        <w:autoSpaceDE w:val="0"/>
        <w:autoSpaceDN w:val="0"/>
        <w:adjustRightInd w:val="0"/>
        <w:spacing w:after="120"/>
        <w:rPr>
          <w:rFonts w:cstheme="minorHAnsi"/>
          <w:b/>
          <w:bCs w:val="0"/>
          <w:lang w:val="en-US"/>
        </w:rPr>
      </w:pPr>
      <w:r w:rsidRPr="008F75C0">
        <w:rPr>
          <w:rFonts w:cstheme="minorHAnsi"/>
          <w:b/>
          <w:bCs w:val="0"/>
          <w:lang w:val="en-US"/>
        </w:rPr>
        <w:t xml:space="preserve">Unexpected Death </w:t>
      </w:r>
      <w:r>
        <w:rPr>
          <w:rFonts w:cstheme="minorHAnsi"/>
          <w:b/>
          <w:bCs w:val="0"/>
          <w:lang w:val="en-US"/>
        </w:rPr>
        <w:t xml:space="preserve">- </w:t>
      </w:r>
      <w:r w:rsidRPr="008F75C0">
        <w:rPr>
          <w:rFonts w:cstheme="minorHAnsi"/>
          <w:lang w:val="en-US"/>
        </w:rPr>
        <w:t xml:space="preserve">Where natural causes are not suspected. Local </w:t>
      </w:r>
      <w:r w:rsidRPr="008F75C0">
        <w:rPr>
          <w:rFonts w:cstheme="minorHAnsi"/>
        </w:rPr>
        <w:t>organisations</w:t>
      </w:r>
      <w:r w:rsidRPr="008F75C0">
        <w:rPr>
          <w:rFonts w:cstheme="minorHAnsi"/>
          <w:lang w:val="en-US"/>
        </w:rPr>
        <w:t xml:space="preserve"> should investigate these to determine if the incident contributed to the unexpected death.</w:t>
      </w:r>
    </w:p>
    <w:p w:rsidR="003432E4" w:rsidRDefault="00DF0A1A" w:rsidP="00DF0A1A">
      <w:pPr>
        <w:rPr>
          <w:rFonts w:cstheme="minorHAnsi"/>
          <w:lang w:val="en-US"/>
        </w:rPr>
      </w:pPr>
      <w:r w:rsidRPr="008F75C0">
        <w:rPr>
          <w:rFonts w:cstheme="minorHAnsi"/>
          <w:b/>
          <w:bCs w:val="0"/>
          <w:lang w:val="en-US"/>
        </w:rPr>
        <w:t xml:space="preserve">Working Day </w:t>
      </w:r>
      <w:r>
        <w:rPr>
          <w:rFonts w:cstheme="minorHAnsi"/>
          <w:b/>
          <w:bCs w:val="0"/>
          <w:lang w:val="en-US"/>
        </w:rPr>
        <w:t xml:space="preserve">- </w:t>
      </w:r>
      <w:r w:rsidRPr="008F75C0">
        <w:rPr>
          <w:rFonts w:cstheme="minorHAnsi"/>
          <w:lang w:val="en-US"/>
        </w:rPr>
        <w:t>Days that exclude weekends and bank holida</w:t>
      </w:r>
      <w:r>
        <w:rPr>
          <w:rFonts w:cstheme="minorHAnsi"/>
          <w:lang w:val="en-US"/>
        </w:rPr>
        <w:t>y</w:t>
      </w:r>
    </w:p>
    <w:p w:rsidR="00DF0A1A" w:rsidRPr="003432E4" w:rsidRDefault="00DF0A1A" w:rsidP="00DF0A1A"/>
    <w:p w:rsidR="005D2131" w:rsidRPr="005D2131" w:rsidRDefault="005D2131" w:rsidP="000D4248">
      <w:pPr>
        <w:pStyle w:val="Heading1"/>
      </w:pPr>
      <w:bookmarkStart w:id="69" w:name="_Toc414568081"/>
      <w:r>
        <w:t>References</w:t>
      </w:r>
      <w:bookmarkEnd w:id="69"/>
      <w:r>
        <w:t xml:space="preserve"> </w:t>
      </w:r>
      <w:bookmarkEnd w:id="4"/>
      <w:bookmarkEnd w:id="5"/>
    </w:p>
    <w:sectPr w:rsidR="005D2131" w:rsidRPr="005D2131" w:rsidSect="005E7A17">
      <w:headerReference w:type="default" r:id="rId42"/>
      <w:footerReference w:type="even" r:id="rId43"/>
      <w:footerReference w:type="default" r:id="rId44"/>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25C" w:rsidRDefault="0098525C" w:rsidP="00A716D1">
      <w:r>
        <w:separator/>
      </w:r>
    </w:p>
  </w:endnote>
  <w:endnote w:type="continuationSeparator" w:id="0">
    <w:p w:rsidR="0098525C" w:rsidRDefault="0098525C" w:rsidP="00A716D1">
      <w:r>
        <w:continuationSeparator/>
      </w:r>
    </w:p>
  </w:endnote>
  <w:endnote w:id="1">
    <w:p w:rsidR="0098525C" w:rsidRDefault="0098525C" w:rsidP="008534A3">
      <w:pPr>
        <w:pStyle w:val="EndnoteText"/>
      </w:pPr>
      <w:r>
        <w:rPr>
          <w:rStyle w:val="EndnoteReference"/>
        </w:rPr>
        <w:endnoteRef/>
      </w:r>
      <w:r>
        <w:t xml:space="preserve"> National Patient Safety Agency, ‘Seven Steps to Patient Safety’’, 2004 – 2009. Available at</w:t>
      </w:r>
    </w:p>
    <w:p w:rsidR="0098525C" w:rsidRDefault="0072371B" w:rsidP="008534A3">
      <w:pPr>
        <w:pStyle w:val="EndnoteText"/>
      </w:pPr>
      <w:hyperlink r:id="rId1" w:history="1">
        <w:r w:rsidR="0098525C" w:rsidRPr="00B92E18">
          <w:rPr>
            <w:rStyle w:val="Hyperlink"/>
          </w:rPr>
          <w:t>http://www.nrls.npsa.nhs.uk/resources/collections/seven-steps-to-patient-safety/</w:t>
        </w:r>
      </w:hyperlink>
      <w:r w:rsidR="0098525C">
        <w:t xml:space="preserve"> </w:t>
      </w:r>
    </w:p>
    <w:p w:rsidR="0098525C" w:rsidRDefault="0098525C">
      <w:pPr>
        <w:pStyle w:val="EndnoteText"/>
      </w:pPr>
    </w:p>
  </w:endnote>
  <w:endnote w:id="2">
    <w:p w:rsidR="0098525C" w:rsidRDefault="0098525C">
      <w:pPr>
        <w:pStyle w:val="EndnoteText"/>
      </w:pPr>
      <w:r>
        <w:rPr>
          <w:rStyle w:val="EndnoteReference"/>
        </w:rPr>
        <w:endnoteRef/>
      </w:r>
      <w:r>
        <w:t xml:space="preserve"> </w:t>
      </w:r>
      <w:r w:rsidRPr="000B7C1A">
        <w:t xml:space="preserve">Royal Colleague of Surgeons (2014) Building a culture of candour: A review of the threshold for the duty of candour and of the incentives for care organisations to be candid. Available online </w:t>
      </w:r>
      <w:hyperlink r:id="rId2" w:history="1">
        <w:r w:rsidRPr="00B92E18">
          <w:rPr>
            <w:rStyle w:val="Hyperlink"/>
          </w:rPr>
          <w:t>https://www.rcseng.ac.uk/policy/documents/CandourreviewFinal.pdf</w:t>
        </w:r>
      </w:hyperlink>
      <w:r>
        <w:t xml:space="preserve"> </w:t>
      </w:r>
    </w:p>
    <w:p w:rsidR="0098525C" w:rsidRDefault="0098525C">
      <w:pPr>
        <w:pStyle w:val="EndnoteText"/>
      </w:pPr>
    </w:p>
  </w:endnote>
  <w:endnote w:id="3">
    <w:p w:rsidR="0098525C" w:rsidRDefault="0098525C">
      <w:pPr>
        <w:pStyle w:val="EndnoteText"/>
      </w:pPr>
      <w:r>
        <w:rPr>
          <w:rStyle w:val="EndnoteReference"/>
        </w:rPr>
        <w:endnoteRef/>
      </w:r>
      <w:r>
        <w:t xml:space="preserve"> </w:t>
      </w:r>
      <w:r w:rsidRPr="000B7C1A">
        <w:t xml:space="preserve">Human Rights Review (2012) Article 2: The Right to Life </w:t>
      </w:r>
      <w:hyperlink r:id="rId3" w:history="1">
        <w:r w:rsidRPr="00B92E18">
          <w:rPr>
            <w:rStyle w:val="Hyperlink"/>
          </w:rPr>
          <w:t>http://www.equalityhumanrights.com/sites/default/files/documents/humanrights/hrr_article_2.pdf</w:t>
        </w:r>
      </w:hyperlink>
      <w:r>
        <w:t xml:space="preserve"> </w:t>
      </w:r>
    </w:p>
    <w:p w:rsidR="0098525C" w:rsidRDefault="0098525C">
      <w:pPr>
        <w:pStyle w:val="EndnoteText"/>
      </w:pPr>
    </w:p>
  </w:endnote>
  <w:endnote w:id="4">
    <w:p w:rsidR="0098525C" w:rsidRDefault="0098525C" w:rsidP="008534A3">
      <w:pPr>
        <w:pStyle w:val="EndnoteText"/>
      </w:pPr>
      <w:r>
        <w:rPr>
          <w:rStyle w:val="EndnoteReference"/>
        </w:rPr>
        <w:endnoteRef/>
      </w:r>
      <w:r>
        <w:t xml:space="preserve"> National Patient Safety Agency, ‘Being Open: communicating patient safety incidents with patients, their</w:t>
      </w:r>
    </w:p>
    <w:p w:rsidR="0098525C" w:rsidRDefault="0098525C" w:rsidP="008534A3">
      <w:pPr>
        <w:pStyle w:val="EndnoteText"/>
      </w:pPr>
      <w:r>
        <w:t xml:space="preserve">families and carers’, November 2009, available at: </w:t>
      </w:r>
      <w:hyperlink r:id="rId4" w:history="1">
        <w:r w:rsidRPr="00B92E18">
          <w:rPr>
            <w:rStyle w:val="Hyperlink"/>
          </w:rPr>
          <w:t>http://www.nrls.npsa.nhs.uk/resources/?EntryId45=83726</w:t>
        </w:r>
      </w:hyperlink>
      <w:r>
        <w:t xml:space="preserve"> </w:t>
      </w:r>
    </w:p>
    <w:p w:rsidR="0098525C" w:rsidRDefault="0098525C">
      <w:pPr>
        <w:pStyle w:val="EndnoteText"/>
      </w:pPr>
    </w:p>
  </w:endnote>
  <w:endnote w:id="5">
    <w:p w:rsidR="0098525C" w:rsidRDefault="0098525C">
      <w:pPr>
        <w:pStyle w:val="EndnoteText"/>
      </w:pPr>
      <w:r>
        <w:rPr>
          <w:rStyle w:val="EndnoteReference"/>
        </w:rPr>
        <w:endnoteRef/>
      </w:r>
      <w:r>
        <w:t xml:space="preserve"> Maria Dineen (2011) </w:t>
      </w:r>
      <w:r w:rsidRPr="00CF1BDC">
        <w:rPr>
          <w:i/>
        </w:rPr>
        <w:t>Six Steps to Root Cause Analysis</w:t>
      </w:r>
      <w:r>
        <w:t xml:space="preserve"> (third edition) ISBN:978-0-9544328-2-9</w:t>
      </w:r>
    </w:p>
    <w:p w:rsidR="0098525C" w:rsidRDefault="0098525C">
      <w:pPr>
        <w:pStyle w:val="EndnoteText"/>
      </w:pPr>
    </w:p>
  </w:endnote>
  <w:endnote w:id="6">
    <w:p w:rsidR="0098525C" w:rsidRDefault="0098525C">
      <w:pPr>
        <w:pStyle w:val="EndnoteText"/>
      </w:pPr>
      <w:r>
        <w:rPr>
          <w:rStyle w:val="EndnoteReference"/>
        </w:rPr>
        <w:endnoteRef/>
      </w:r>
      <w:r>
        <w:t xml:space="preserve"> NHS England (2014) Principles for managing quality in specialised commissioning (including RASCI template) available at:  </w:t>
      </w:r>
      <w:hyperlink r:id="rId5" w:history="1">
        <w:r w:rsidRPr="00B92E18">
          <w:rPr>
            <w:rStyle w:val="Hyperlink"/>
          </w:rPr>
          <w:t>https://nhsengland.sharepoint.com/TeamCentre/Operations/_layouts/15/WopiFrame.aspx?sourcedoc={1CAE2D20-BB4F-47A3-BFB6-3371A4D7AE6A}&amp;file=Principles%20for%20managing%20quality%20in%20specialised%20commissioning%20including%20RASCI%20template.docx&amp;action=default</w:t>
        </w:r>
      </w:hyperlink>
      <w:r>
        <w:t xml:space="preserve"> </w:t>
      </w:r>
    </w:p>
    <w:p w:rsidR="0098525C" w:rsidRDefault="0098525C">
      <w:pPr>
        <w:pStyle w:val="EndnoteText"/>
      </w:pPr>
    </w:p>
  </w:endnote>
  <w:endnote w:id="7">
    <w:p w:rsidR="0098525C" w:rsidRDefault="0098525C" w:rsidP="000E1D84">
      <w:pPr>
        <w:pStyle w:val="EndnoteText"/>
      </w:pPr>
      <w:r>
        <w:rPr>
          <w:rStyle w:val="EndnoteReference"/>
        </w:rPr>
        <w:endnoteRef/>
      </w:r>
      <w:r>
        <w:t xml:space="preserve">  NPSA, RCA toolkit, available at: </w:t>
      </w:r>
      <w:hyperlink r:id="rId6" w:history="1">
        <w:r w:rsidRPr="00553458">
          <w:rPr>
            <w:rStyle w:val="Hyperlink"/>
          </w:rPr>
          <w:t>https://report.nrls.nhs.uk/rcatoolkit/course/iindex.htm</w:t>
        </w:r>
      </w:hyperlink>
      <w:r>
        <w:t xml:space="preserve"> </w:t>
      </w:r>
    </w:p>
    <w:p w:rsidR="0098525C" w:rsidRDefault="0098525C" w:rsidP="000E1D84">
      <w:pPr>
        <w:pStyle w:val="EndnoteText"/>
      </w:pPr>
    </w:p>
  </w:endnote>
  <w:endnote w:id="8">
    <w:p w:rsidR="0098525C" w:rsidRDefault="0098525C" w:rsidP="00290060">
      <w:pPr>
        <w:pStyle w:val="EndnoteText"/>
      </w:pPr>
      <w:r>
        <w:rPr>
          <w:rStyle w:val="EndnoteReference"/>
        </w:rPr>
        <w:endnoteRef/>
      </w:r>
      <w:r>
        <w:t xml:space="preserve"> </w:t>
      </w:r>
      <w:r w:rsidRPr="0014321F">
        <w:t xml:space="preserve">Work related deaths: A protocol for liaison (England and Wales).  Available at: </w:t>
      </w:r>
      <w:hyperlink r:id="rId7" w:history="1">
        <w:r w:rsidRPr="00ED6AA6">
          <w:rPr>
            <w:rStyle w:val="Hyperlink"/>
          </w:rPr>
          <w:t>http://www.hse.gov.uk/pubns/wrdp1.pdf</w:t>
        </w:r>
      </w:hyperlink>
      <w:r>
        <w:t xml:space="preserve"> </w:t>
      </w:r>
    </w:p>
    <w:p w:rsidR="0098525C" w:rsidRDefault="0098525C" w:rsidP="00290060">
      <w:pPr>
        <w:pStyle w:val="EndnoteText"/>
      </w:pPr>
    </w:p>
  </w:endnote>
  <w:endnote w:id="9">
    <w:p w:rsidR="0098525C" w:rsidRPr="00C36939" w:rsidRDefault="0098525C" w:rsidP="00C36939">
      <w:pPr>
        <w:pStyle w:val="EndnoteText"/>
      </w:pPr>
      <w:r>
        <w:rPr>
          <w:rStyle w:val="EndnoteReference"/>
        </w:rPr>
        <w:endnoteRef/>
      </w:r>
      <w:r>
        <w:t xml:space="preserve"> </w:t>
      </w:r>
      <w:r w:rsidRPr="00C36939">
        <w:t xml:space="preserve">Health and Social Care Information Centre guidance HSCIC Checklist Guidance for Reporting, Managing and Investigating Information Governance Serious Incidents Requiring Investigation (2015) Available at: </w:t>
      </w:r>
      <w:hyperlink r:id="rId8" w:history="1">
        <w:r w:rsidRPr="00C36939">
          <w:rPr>
            <w:rStyle w:val="Hyperlink"/>
          </w:rPr>
          <w:t>https://www.igt.hscic.gov.uk/KnowledgeBaseNew/HSCIC%20SIRI%20Reporting%20and%20Checklist%20Guidance.pdf</w:t>
        </w:r>
      </w:hyperlink>
    </w:p>
    <w:p w:rsidR="0098525C" w:rsidRDefault="0098525C" w:rsidP="00290060">
      <w:pPr>
        <w:pStyle w:val="EndnoteText"/>
      </w:pPr>
    </w:p>
    <w:p w:rsidR="0098525C" w:rsidRDefault="0098525C" w:rsidP="00290060">
      <w:pPr>
        <w:pStyle w:val="EndnoteText"/>
      </w:pPr>
    </w:p>
  </w:endnote>
  <w:endnote w:id="10">
    <w:p w:rsidR="0098525C" w:rsidRDefault="0098525C">
      <w:pPr>
        <w:pStyle w:val="EndnoteText"/>
      </w:pPr>
      <w:r>
        <w:rPr>
          <w:rStyle w:val="EndnoteReference"/>
        </w:rPr>
        <w:endnoteRef/>
      </w:r>
      <w:r>
        <w:t xml:space="preserve"> </w:t>
      </w:r>
      <w:r w:rsidRPr="00D7718F">
        <w:t>Independent Schools Inspectorate (ISI) 2012- Integrated Handbook-framework</w:t>
      </w:r>
    </w:p>
    <w:p w:rsidR="0098525C" w:rsidRDefault="0098525C">
      <w:pPr>
        <w:pStyle w:val="EndnoteText"/>
      </w:pPr>
    </w:p>
  </w:endnote>
  <w:endnote w:id="11">
    <w:p w:rsidR="0098525C" w:rsidRDefault="0098525C" w:rsidP="00D7718F">
      <w:pPr>
        <w:pStyle w:val="EndnoteText"/>
      </w:pPr>
      <w:r>
        <w:rPr>
          <w:rStyle w:val="EndnoteReference"/>
        </w:rPr>
        <w:endnoteRef/>
      </w:r>
      <w:r>
        <w:t xml:space="preserve"> Home Office Multi-agency Statutory Guidance for the Conduct of Domestic Homicide Reviews (2013)</w:t>
      </w:r>
    </w:p>
    <w:p w:rsidR="0098525C" w:rsidRDefault="0072371B" w:rsidP="00D7718F">
      <w:pPr>
        <w:pStyle w:val="EndnoteText"/>
      </w:pPr>
      <w:hyperlink r:id="rId9" w:history="1">
        <w:r w:rsidR="0098525C" w:rsidRPr="00B92E18">
          <w:rPr>
            <w:rStyle w:val="Hyperlink"/>
          </w:rPr>
          <w:t>https://www.gov.uk/government/uploads/system/uploads/attachment_data/file/209020/DHR_Guidance_refresh_HO_final_WEB.pdf</w:t>
        </w:r>
      </w:hyperlink>
      <w:r w:rsidR="0098525C">
        <w:t xml:space="preserve"> </w:t>
      </w:r>
    </w:p>
  </w:endnote>
  <w:endnote w:id="12">
    <w:p w:rsidR="0098525C" w:rsidRDefault="0098525C" w:rsidP="00F555EF">
      <w:pPr>
        <w:pStyle w:val="EndnoteText"/>
      </w:pPr>
    </w:p>
  </w:endnote>
  <w:endnote w:id="13">
    <w:p w:rsidR="0098525C" w:rsidRDefault="0098525C" w:rsidP="00DF0A1A">
      <w:pPr>
        <w:pStyle w:val="EndnoteText"/>
      </w:pPr>
      <w:r>
        <w:rPr>
          <w:rStyle w:val="EndnoteReference"/>
        </w:rPr>
        <w:endnoteRef/>
      </w:r>
      <w:r>
        <w:t xml:space="preserve"> Department of Health, </w:t>
      </w:r>
      <w:r w:rsidRPr="00510F9C">
        <w:t xml:space="preserve">No Secrets, available at </w:t>
      </w:r>
      <w:hyperlink r:id="rId10" w:history="1">
        <w:r w:rsidRPr="00ED6AA6">
          <w:rPr>
            <w:rStyle w:val="Hyperlink"/>
          </w:rPr>
          <w:t>http://www.dh.gov.uk/en/Publicationsandstatistics/Publications/PublicationsPolicyAndGuidance/DH_4008486</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008760"/>
      <w:docPartObj>
        <w:docPartGallery w:val="Page Numbers (Bottom of Page)"/>
        <w:docPartUnique/>
      </w:docPartObj>
    </w:sdtPr>
    <w:sdtEndPr>
      <w:rPr>
        <w:noProof/>
      </w:rPr>
    </w:sdtEndPr>
    <w:sdtContent>
      <w:p w:rsidR="0098525C" w:rsidRDefault="0098525C">
        <w:pPr>
          <w:pStyle w:val="Footer"/>
          <w:jc w:val="right"/>
        </w:pPr>
        <w:r>
          <w:fldChar w:fldCharType="begin"/>
        </w:r>
        <w:r>
          <w:instrText xml:space="preserve"> PAGE   \* MERGEFORMAT </w:instrText>
        </w:r>
        <w:r>
          <w:fldChar w:fldCharType="separate"/>
        </w:r>
        <w:r w:rsidR="0072371B">
          <w:rPr>
            <w:noProof/>
          </w:rPr>
          <w:t>3</w:t>
        </w:r>
        <w:r>
          <w:rPr>
            <w:noProof/>
          </w:rPr>
          <w:fldChar w:fldCharType="end"/>
        </w:r>
      </w:p>
    </w:sdtContent>
  </w:sdt>
  <w:p w:rsidR="0098525C" w:rsidRDefault="00985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5C" w:rsidRDefault="0098525C"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98525C" w:rsidRDefault="0098525C" w:rsidP="00A71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5C" w:rsidRDefault="0098525C" w:rsidP="00A7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25C" w:rsidRDefault="0098525C" w:rsidP="00A716D1">
      <w:r>
        <w:separator/>
      </w:r>
    </w:p>
  </w:footnote>
  <w:footnote w:type="continuationSeparator" w:id="0">
    <w:p w:rsidR="0098525C" w:rsidRDefault="0098525C" w:rsidP="00A716D1">
      <w:r>
        <w:continuationSeparator/>
      </w:r>
    </w:p>
  </w:footnote>
  <w:footnote w:id="1">
    <w:p w:rsidR="0098525C" w:rsidRPr="00657E3A" w:rsidRDefault="0098525C" w:rsidP="001B2071">
      <w:pPr>
        <w:pStyle w:val="FootnoteText"/>
        <w:rPr>
          <w:rFonts w:ascii="Arial" w:hAnsi="Arial" w:cs="Arial"/>
        </w:rPr>
      </w:pPr>
      <w:r w:rsidRPr="00657E3A">
        <w:rPr>
          <w:rStyle w:val="FootnoteReference"/>
          <w:rFonts w:ascii="Arial" w:hAnsi="Arial" w:cs="Arial"/>
          <w:sz w:val="18"/>
        </w:rPr>
        <w:footnoteRef/>
      </w:r>
      <w:r w:rsidRPr="00657E3A">
        <w:rPr>
          <w:rFonts w:ascii="Arial" w:hAnsi="Arial" w:cs="Arial"/>
          <w:sz w:val="18"/>
        </w:rPr>
        <w:t xml:space="preserve"> The terms ‘serious incident requiring investigation (SIRI)’, ‘serious incident (SI)’ or ‘serious untoward incident (SUI)’ are often used interchangeably. This document will refer to ‘SIs’ and serious incidents.</w:t>
      </w:r>
    </w:p>
  </w:footnote>
  <w:footnote w:id="2">
    <w:p w:rsidR="0098525C" w:rsidRDefault="0098525C" w:rsidP="001028BB">
      <w:pPr>
        <w:pStyle w:val="FootnoteText"/>
      </w:pPr>
      <w:r>
        <w:rPr>
          <w:rStyle w:val="FootnoteReference"/>
        </w:rPr>
        <w:footnoteRef/>
      </w:r>
      <w:r>
        <w:t xml:space="preserve"> This guidance replaced paragraphs 33 –36 in HSG (94) 27 (LASSL(94)4)</w:t>
      </w:r>
    </w:p>
  </w:footnote>
  <w:footnote w:id="3">
    <w:p w:rsidR="0098525C" w:rsidRPr="001E58E5" w:rsidRDefault="0098525C" w:rsidP="001E58E5">
      <w:pPr>
        <w:pStyle w:val="FootnoteText"/>
        <w:rPr>
          <w:rFonts w:ascii="Arial" w:hAnsi="Arial" w:cs="Arial"/>
          <w:sz w:val="18"/>
          <w:szCs w:val="18"/>
        </w:rPr>
      </w:pPr>
      <w:r w:rsidRPr="001E58E5">
        <w:rPr>
          <w:rStyle w:val="FootnoteReference"/>
          <w:rFonts w:ascii="Arial" w:hAnsi="Arial" w:cs="Arial"/>
          <w:sz w:val="18"/>
          <w:szCs w:val="18"/>
        </w:rPr>
        <w:footnoteRef/>
      </w:r>
      <w:r w:rsidRPr="001E58E5">
        <w:rPr>
          <w:rFonts w:ascii="Arial" w:hAnsi="Arial" w:cs="Arial"/>
          <w:sz w:val="18"/>
          <w:szCs w:val="18"/>
        </w:rPr>
        <w:t xml:space="preserve"> Serious incidents involving NHS patients from England receiving care in Welsh provider organisations are covered by the requirements of this </w:t>
      </w:r>
      <w:r>
        <w:rPr>
          <w:rFonts w:ascii="Arial" w:hAnsi="Arial" w:cs="Arial"/>
          <w:sz w:val="18"/>
          <w:szCs w:val="18"/>
        </w:rPr>
        <w:t>F</w:t>
      </w:r>
      <w:r w:rsidRPr="001E58E5">
        <w:rPr>
          <w:rFonts w:ascii="Arial" w:hAnsi="Arial" w:cs="Arial"/>
          <w:sz w:val="18"/>
          <w:szCs w:val="18"/>
        </w:rPr>
        <w:t>ramework. The Welsh provider organisation is required to notify the commissioner for patients’ care in England. Where serious incidents involve NHS patients from Wales receiving care in English provider</w:t>
      </w:r>
      <w:r>
        <w:rPr>
          <w:rFonts w:ascii="Arial" w:hAnsi="Arial" w:cs="Arial"/>
          <w:sz w:val="18"/>
          <w:szCs w:val="18"/>
        </w:rPr>
        <w:t xml:space="preserve"> </w:t>
      </w:r>
      <w:r w:rsidRPr="001E58E5">
        <w:rPr>
          <w:rFonts w:ascii="Arial" w:hAnsi="Arial" w:cs="Arial"/>
          <w:sz w:val="18"/>
          <w:szCs w:val="18"/>
        </w:rPr>
        <w:t>organisations, the commissioner of these patients’ care in Wales must be informed. This will be the local health board, unless it is specialist care being provided in which case Welsh Health Specialised Services Committee (WHSSC) must be informed.</w:t>
      </w:r>
    </w:p>
  </w:footnote>
  <w:footnote w:id="4">
    <w:p w:rsidR="0098525C" w:rsidRDefault="0098525C">
      <w:pPr>
        <w:pStyle w:val="FootnoteText"/>
      </w:pPr>
      <w:r>
        <w:rPr>
          <w:rStyle w:val="FootnoteReference"/>
        </w:rPr>
        <w:footnoteRef/>
      </w:r>
      <w:r>
        <w:t xml:space="preserve"> Quality in healthcare is defined as care that is safe, effective, and that provides as positive an experience for the patient as possible.</w:t>
      </w:r>
    </w:p>
  </w:footnote>
  <w:footnote w:id="5">
    <w:p w:rsidR="0098525C" w:rsidRDefault="0098525C">
      <w:pPr>
        <w:pStyle w:val="FootnoteText"/>
      </w:pPr>
      <w:r>
        <w:rPr>
          <w:rStyle w:val="FootnoteReference"/>
        </w:rPr>
        <w:footnoteRef/>
      </w:r>
      <w:r>
        <w:t xml:space="preserve"> </w:t>
      </w:r>
      <w:r w:rsidRPr="00553257">
        <w:t>Local Risk Management Systems (LRMS) and the National Reporting and Learning System (NRLS) together with other systems provide a means to record general safety and patient safety incidents and should form part of local risk management processes.</w:t>
      </w:r>
    </w:p>
  </w:footnote>
  <w:footnote w:id="6">
    <w:p w:rsidR="0098525C" w:rsidRDefault="0098525C" w:rsidP="008C06FE">
      <w:pPr>
        <w:pStyle w:val="FootnoteText"/>
      </w:pPr>
      <w:r>
        <w:rPr>
          <w:rStyle w:val="FootnoteReference"/>
        </w:rPr>
        <w:footnoteRef/>
      </w:r>
      <w:r>
        <w:t xml:space="preserve"> Guidance on running Quality Surveillance Groups can be found at: </w:t>
      </w:r>
      <w:hyperlink r:id="rId1" w:history="1">
        <w:r w:rsidRPr="00EC6AA5">
          <w:rPr>
            <w:rStyle w:val="Hyperlink"/>
          </w:rPr>
          <w:t>http://www.england.nhs.uk/wp-content/uploads/2014/03/quality-surv-grp-effective.pdf</w:t>
        </w:r>
      </w:hyperlink>
      <w:r>
        <w:t xml:space="preserve"> </w:t>
      </w:r>
    </w:p>
  </w:footnote>
  <w:footnote w:id="7">
    <w:p w:rsidR="0098525C" w:rsidRDefault="0098525C" w:rsidP="000931CC">
      <w:pPr>
        <w:pStyle w:val="FootnoteText"/>
      </w:pPr>
      <w:r>
        <w:rPr>
          <w:rStyle w:val="FootnoteReference"/>
        </w:rPr>
        <w:footnoteRef/>
      </w:r>
      <w:r>
        <w:t xml:space="preserve"> Serious harm:</w:t>
      </w:r>
    </w:p>
    <w:p w:rsidR="0098525C" w:rsidRDefault="0098525C" w:rsidP="0072371B">
      <w:pPr>
        <w:pStyle w:val="FootnoteText"/>
        <w:numPr>
          <w:ilvl w:val="0"/>
          <w:numId w:val="74"/>
        </w:numPr>
      </w:pPr>
      <w:r>
        <w:t>Severe harm (</w:t>
      </w:r>
      <w:r w:rsidRPr="009B1C02">
        <w:t>patient safety incident that appears to have resulted in permanent harm to one or more persons receiving NHS-funded care</w:t>
      </w:r>
      <w:r>
        <w:t>);</w:t>
      </w:r>
    </w:p>
    <w:p w:rsidR="0098525C" w:rsidRDefault="0098525C" w:rsidP="0072371B">
      <w:pPr>
        <w:pStyle w:val="FootnoteText"/>
        <w:numPr>
          <w:ilvl w:val="0"/>
          <w:numId w:val="74"/>
        </w:numPr>
      </w:pPr>
      <w:r>
        <w:t>Chronic pain (</w:t>
      </w:r>
      <w:r w:rsidRPr="00C95330">
        <w:t>continuous, long-term pain of more than 12 weeks or after the time that healing would have been thought to have occurred in pain after trauma or surgery</w:t>
      </w:r>
      <w:r>
        <w:t xml:space="preserve"> ); or</w:t>
      </w:r>
    </w:p>
    <w:p w:rsidR="0098525C" w:rsidRDefault="0098525C" w:rsidP="0072371B">
      <w:pPr>
        <w:pStyle w:val="FootnoteText"/>
        <w:numPr>
          <w:ilvl w:val="0"/>
          <w:numId w:val="74"/>
        </w:numPr>
      </w:pPr>
      <w:r>
        <w:t xml:space="preserve">Psychological harm, impairment to sensory, motor or intellectual function or impairment to normal working or personal life which is not likely to be temporary (i.e. has lasted, or is likely to last for a continuous period of at least 28 days). </w:t>
      </w:r>
      <w:r>
        <w:rPr>
          <w:i/>
        </w:rPr>
        <w:t xml:space="preserve"> </w:t>
      </w:r>
    </w:p>
  </w:footnote>
  <w:footnote w:id="8">
    <w:p w:rsidR="0098525C" w:rsidRPr="009C1A45" w:rsidRDefault="0098525C" w:rsidP="00575015">
      <w:pPr>
        <w:pStyle w:val="FootnoteText"/>
        <w:rPr>
          <w:sz w:val="18"/>
          <w:szCs w:val="18"/>
        </w:rPr>
      </w:pPr>
      <w:r w:rsidRPr="008A6C72">
        <w:rPr>
          <w:rStyle w:val="FootnoteReference"/>
          <w:sz w:val="18"/>
          <w:szCs w:val="18"/>
        </w:rPr>
        <w:footnoteRef/>
      </w:r>
      <w:r w:rsidRPr="008A6C72">
        <w:rPr>
          <w:sz w:val="18"/>
          <w:szCs w:val="18"/>
        </w:rPr>
        <w:t xml:space="preserve"> Caused or contributed to by weaknesses in care/service delivery (including lapses/acts and/or omission) as opposed to a </w:t>
      </w:r>
      <w:r w:rsidRPr="006F7C64">
        <w:rPr>
          <w:sz w:val="18"/>
          <w:szCs w:val="18"/>
        </w:rPr>
        <w:t xml:space="preserve">death which occurs as a </w:t>
      </w:r>
      <w:r w:rsidRPr="00FE0FBC">
        <w:rPr>
          <w:sz w:val="18"/>
          <w:szCs w:val="18"/>
        </w:rPr>
        <w:t>direct result of</w:t>
      </w:r>
      <w:r w:rsidRPr="00FE0FBC">
        <w:rPr>
          <w:rFonts w:asciiTheme="minorHAnsi" w:hAnsiTheme="minorHAnsi" w:cstheme="minorHAnsi"/>
          <w:sz w:val="18"/>
          <w:szCs w:val="18"/>
        </w:rPr>
        <w:t xml:space="preserve"> the natural course of the patient’s illness or underlying </w:t>
      </w:r>
      <w:r w:rsidRPr="00035DEA">
        <w:rPr>
          <w:rFonts w:asciiTheme="minorHAnsi" w:hAnsiTheme="minorHAnsi" w:cstheme="minorHAnsi"/>
          <w:sz w:val="18"/>
          <w:szCs w:val="18"/>
        </w:rPr>
        <w:t xml:space="preserve">condition where this was managed in accordance with best practice. </w:t>
      </w:r>
    </w:p>
  </w:footnote>
  <w:footnote w:id="9">
    <w:p w:rsidR="0098525C" w:rsidRPr="008A6C72" w:rsidRDefault="0098525C">
      <w:pPr>
        <w:pStyle w:val="FootnoteText"/>
        <w:rPr>
          <w:sz w:val="18"/>
          <w:szCs w:val="18"/>
        </w:rPr>
      </w:pPr>
      <w:r w:rsidRPr="009C1A45">
        <w:rPr>
          <w:rStyle w:val="FootnoteReference"/>
          <w:sz w:val="18"/>
          <w:szCs w:val="18"/>
        </w:rPr>
        <w:footnoteRef/>
      </w:r>
      <w:r w:rsidRPr="009C1A45">
        <w:rPr>
          <w:sz w:val="18"/>
          <w:szCs w:val="18"/>
        </w:rPr>
        <w:t xml:space="preserve"> This includes those in rec</w:t>
      </w:r>
      <w:r>
        <w:rPr>
          <w:sz w:val="18"/>
          <w:szCs w:val="18"/>
        </w:rPr>
        <w:t>eipt of care within the last 6</w:t>
      </w:r>
      <w:r w:rsidRPr="009C1A45">
        <w:rPr>
          <w:sz w:val="18"/>
          <w:szCs w:val="18"/>
        </w:rPr>
        <w:t xml:space="preserve"> months but this is a guide and each case should be considered individually - it may be appropriate to declare a serious incident for a homicide by a person discharged from mental health care more than </w:t>
      </w:r>
      <w:r>
        <w:rPr>
          <w:sz w:val="18"/>
          <w:szCs w:val="18"/>
        </w:rPr>
        <w:t>6</w:t>
      </w:r>
      <w:r w:rsidRPr="008A6C72">
        <w:rPr>
          <w:sz w:val="18"/>
          <w:szCs w:val="18"/>
        </w:rPr>
        <w:t xml:space="preserve"> months previously.</w:t>
      </w:r>
    </w:p>
  </w:footnote>
  <w:footnote w:id="10">
    <w:p w:rsidR="0098525C" w:rsidRPr="009C1A45" w:rsidRDefault="0098525C">
      <w:pPr>
        <w:pStyle w:val="FootnoteText"/>
        <w:rPr>
          <w:sz w:val="18"/>
          <w:szCs w:val="18"/>
        </w:rPr>
      </w:pPr>
      <w:r w:rsidRPr="008A6C72">
        <w:rPr>
          <w:rStyle w:val="FootnoteReference"/>
          <w:sz w:val="18"/>
          <w:szCs w:val="18"/>
        </w:rPr>
        <w:footnoteRef/>
      </w:r>
      <w:r w:rsidRPr="008A6C72">
        <w:rPr>
          <w:sz w:val="18"/>
          <w:szCs w:val="18"/>
        </w:rPr>
        <w:t xml:space="preserve"> This may include failure to take a complete history, gather information from which to base care plan/treatment, assess mental capacity and/or seek consent to treatment, </w:t>
      </w:r>
      <w:r w:rsidRPr="006F7C64">
        <w:rPr>
          <w:sz w:val="18"/>
          <w:szCs w:val="18"/>
        </w:rPr>
        <w:t xml:space="preserve">or fail to share information when to do so would be in the best interest of the </w:t>
      </w:r>
      <w:r w:rsidRPr="00FE0FBC">
        <w:rPr>
          <w:sz w:val="18"/>
          <w:szCs w:val="18"/>
        </w:rPr>
        <w:t>client in an effort to prevent further abuse by a third party and/or to follow policy on safer recruitment.</w:t>
      </w:r>
    </w:p>
  </w:footnote>
  <w:footnote w:id="11">
    <w:p w:rsidR="0098525C" w:rsidRDefault="0098525C">
      <w:pPr>
        <w:pStyle w:val="FootnoteText"/>
      </w:pPr>
      <w:r w:rsidRPr="009C1A45">
        <w:rPr>
          <w:rStyle w:val="FootnoteReference"/>
          <w:sz w:val="18"/>
          <w:szCs w:val="18"/>
        </w:rPr>
        <w:footnoteRef/>
      </w:r>
      <w:r w:rsidRPr="009C1A45">
        <w:rPr>
          <w:sz w:val="18"/>
          <w:szCs w:val="18"/>
        </w:rPr>
        <w:t xml:space="preserve"> Never Events arise from failure of strong systemic protective barriers which can be defined as successful, reliable and comprehensive safeguards or remedies e.g. a uniquely designed connector to prevent administration of a medicine via the incorrect route - for which the importance, rationale and good practice use should be known to, fully understood by, and robustly sustained throughout the system from suppliers, procurers, requisitioners, training units, and front line staff alike. </w:t>
      </w:r>
      <w:r>
        <w:rPr>
          <w:sz w:val="18"/>
          <w:szCs w:val="18"/>
        </w:rPr>
        <w:t>See t</w:t>
      </w:r>
      <w:r w:rsidRPr="009C1A45">
        <w:rPr>
          <w:sz w:val="18"/>
          <w:szCs w:val="18"/>
        </w:rPr>
        <w:t>he  Never Events Policy and Framework</w:t>
      </w:r>
      <w:r>
        <w:rPr>
          <w:sz w:val="18"/>
          <w:szCs w:val="18"/>
        </w:rPr>
        <w:t xml:space="preserve"> available online at:</w:t>
      </w:r>
      <w:r w:rsidRPr="009C1A45">
        <w:rPr>
          <w:sz w:val="18"/>
          <w:szCs w:val="18"/>
        </w:rPr>
        <w:t xml:space="preserve">  </w:t>
      </w:r>
      <w:hyperlink r:id="rId2" w:history="1">
        <w:r w:rsidR="004D3178" w:rsidRPr="00E238F5">
          <w:rPr>
            <w:rStyle w:val="Hyperlink"/>
          </w:rPr>
          <w:t>http://www.england.nhs.uk/ourwork/patientsafety/never-events/</w:t>
        </w:r>
      </w:hyperlink>
      <w:r w:rsidR="004D3178">
        <w:t xml:space="preserve"> </w:t>
      </w:r>
      <w:r w:rsidRPr="009C1A45">
        <w:rPr>
          <w:sz w:val="18"/>
          <w:szCs w:val="18"/>
        </w:rPr>
        <w:t xml:space="preserve"> </w:t>
      </w:r>
    </w:p>
  </w:footnote>
  <w:footnote w:id="12">
    <w:p w:rsidR="0098525C" w:rsidRPr="00B6733F" w:rsidRDefault="0098525C">
      <w:pPr>
        <w:pStyle w:val="FootnoteText"/>
        <w:rPr>
          <w:sz w:val="18"/>
        </w:rPr>
      </w:pPr>
      <w:r w:rsidRPr="00B6733F">
        <w:rPr>
          <w:rStyle w:val="FootnoteReference"/>
          <w:sz w:val="18"/>
        </w:rPr>
        <w:footnoteRef/>
      </w:r>
      <w:r w:rsidRPr="00B6733F">
        <w:rPr>
          <w:sz w:val="18"/>
        </w:rPr>
        <w:t xml:space="preserve"> This will include absence without authorised leave for patients who present a significant risk to themselves or the public.  </w:t>
      </w:r>
    </w:p>
  </w:footnote>
  <w:footnote w:id="13">
    <w:p w:rsidR="0098525C" w:rsidRPr="00B6733F" w:rsidRDefault="0098525C" w:rsidP="003A0E06">
      <w:pPr>
        <w:pStyle w:val="FootnoteText"/>
        <w:rPr>
          <w:rFonts w:asciiTheme="minorHAnsi" w:hAnsiTheme="minorHAnsi" w:cstheme="minorHAnsi"/>
          <w:sz w:val="18"/>
        </w:rPr>
      </w:pPr>
      <w:r w:rsidRPr="00B6733F">
        <w:rPr>
          <w:rStyle w:val="FootnoteReference"/>
          <w:rFonts w:asciiTheme="minorHAnsi" w:hAnsiTheme="minorHAnsi" w:cstheme="minorHAnsi"/>
          <w:sz w:val="18"/>
        </w:rPr>
        <w:footnoteRef/>
      </w:r>
      <w:r w:rsidRPr="00B6733F">
        <w:rPr>
          <w:rFonts w:asciiTheme="minorHAnsi" w:hAnsiTheme="minorHAnsi" w:cstheme="minorHAnsi"/>
          <w:sz w:val="18"/>
        </w:rPr>
        <w:t xml:space="preserve"> </w:t>
      </w:r>
      <w:r w:rsidRPr="00957E17">
        <w:rPr>
          <w:rFonts w:asciiTheme="minorHAnsi" w:hAnsiTheme="minorHAnsi" w:cstheme="minorHAnsi"/>
          <w:sz w:val="18"/>
        </w:rPr>
        <w:t>Updated guidance will be issued in 2015.  Until that point the Interim Guidance for Managing Screening Incidents (2013) should be followed.</w:t>
      </w:r>
    </w:p>
  </w:footnote>
  <w:footnote w:id="14">
    <w:p w:rsidR="0098525C" w:rsidRPr="00B6733F" w:rsidRDefault="0098525C" w:rsidP="003A0E06">
      <w:pPr>
        <w:pStyle w:val="FootnoteText"/>
        <w:rPr>
          <w:sz w:val="18"/>
        </w:rPr>
      </w:pPr>
      <w:r w:rsidRPr="00B6733F">
        <w:rPr>
          <w:rStyle w:val="FootnoteReference"/>
          <w:rFonts w:asciiTheme="minorHAnsi" w:hAnsiTheme="minorHAnsi" w:cstheme="minorHAnsi"/>
          <w:sz w:val="18"/>
        </w:rPr>
        <w:footnoteRef/>
      </w:r>
      <w:r w:rsidRPr="00B6733F">
        <w:rPr>
          <w:rFonts w:asciiTheme="minorHAnsi" w:hAnsiTheme="minorHAnsi" w:cstheme="minorHAnsi"/>
          <w:sz w:val="18"/>
        </w:rPr>
        <w:t xml:space="preserve"> It is recognised that in some cases ward closure may be the safest/ most responsible action to take but in order to identify problems in service/care delivery , contributing factors and fundamental issues which need to be resolved an investigation must be undertaken </w:t>
      </w:r>
    </w:p>
  </w:footnote>
  <w:footnote w:id="15">
    <w:p w:rsidR="0098525C" w:rsidRPr="00B6733F" w:rsidRDefault="0098525C">
      <w:pPr>
        <w:pStyle w:val="FootnoteText"/>
        <w:rPr>
          <w:sz w:val="18"/>
        </w:rPr>
      </w:pPr>
      <w:r w:rsidRPr="00B6733F">
        <w:rPr>
          <w:rStyle w:val="FootnoteReference"/>
          <w:sz w:val="18"/>
        </w:rPr>
        <w:footnoteRef/>
      </w:r>
      <w:r w:rsidRPr="00B6733F">
        <w:rPr>
          <w:sz w:val="18"/>
        </w:rPr>
        <w:t xml:space="preserve"> For further information relating to emergency preparedness, resilience and response</w:t>
      </w:r>
      <w:r>
        <w:rPr>
          <w:sz w:val="18"/>
        </w:rPr>
        <w:t>,</w:t>
      </w:r>
      <w:r w:rsidRPr="00B6733F">
        <w:rPr>
          <w:sz w:val="18"/>
        </w:rPr>
        <w:t xml:space="preserve"> visit: </w:t>
      </w:r>
      <w:hyperlink r:id="rId3" w:history="1">
        <w:r w:rsidRPr="00B6733F">
          <w:rPr>
            <w:rStyle w:val="Hyperlink"/>
            <w:sz w:val="18"/>
          </w:rPr>
          <w:t>http://www.england.nhs.uk/ourwork/eprr/</w:t>
        </w:r>
      </w:hyperlink>
      <w:r w:rsidRPr="00B6733F">
        <w:rPr>
          <w:sz w:val="18"/>
        </w:rPr>
        <w:t xml:space="preserve"> </w:t>
      </w:r>
    </w:p>
  </w:footnote>
  <w:footnote w:id="16">
    <w:p w:rsidR="0098525C" w:rsidRDefault="0098525C" w:rsidP="003A0E06">
      <w:pPr>
        <w:pStyle w:val="FootnoteText"/>
      </w:pPr>
      <w:r w:rsidRPr="00B6733F">
        <w:rPr>
          <w:rStyle w:val="FootnoteReference"/>
          <w:sz w:val="18"/>
        </w:rPr>
        <w:footnoteRef/>
      </w:r>
      <w:r w:rsidRPr="00B6733F">
        <w:rPr>
          <w:sz w:val="18"/>
        </w:rPr>
        <w:t xml:space="preserve"> As an outcome loss in confidence/ prolonged media coverage is hard to predict. Often </w:t>
      </w:r>
      <w:r>
        <w:rPr>
          <w:sz w:val="18"/>
        </w:rPr>
        <w:t>serious incidents</w:t>
      </w:r>
      <w:r w:rsidRPr="00B6733F">
        <w:rPr>
          <w:sz w:val="18"/>
        </w:rPr>
        <w:t xml:space="preserve"> of this nature will be identified and reported retrospectively and this does not automatically signify a failure to report. </w:t>
      </w:r>
    </w:p>
  </w:footnote>
  <w:footnote w:id="17">
    <w:p w:rsidR="0098525C" w:rsidRDefault="0098525C" w:rsidP="006B430B">
      <w:pPr>
        <w:pStyle w:val="FootnoteText"/>
      </w:pPr>
      <w:r>
        <w:rPr>
          <w:rStyle w:val="FootnoteReference"/>
        </w:rPr>
        <w:footnoteRef/>
      </w:r>
      <w:r>
        <w:t xml:space="preserve"> </w:t>
      </w:r>
      <w:r w:rsidRPr="00884935">
        <w:t>Caution: when replying to section letters</w:t>
      </w:r>
      <w:r>
        <w:t xml:space="preserve"> from the Coroner,</w:t>
      </w:r>
      <w:r w:rsidRPr="00884935">
        <w:t xml:space="preserve"> the</w:t>
      </w:r>
      <w:r>
        <w:t xml:space="preserve"> response must</w:t>
      </w:r>
      <w:r w:rsidRPr="00884935">
        <w:t xml:space="preserve"> clearly state in what capacity the respondent writes i.e. a </w:t>
      </w:r>
      <w:r>
        <w:t xml:space="preserve">Sub-region </w:t>
      </w:r>
      <w:r w:rsidRPr="00884935">
        <w:t xml:space="preserve">should clearly state that actions are specific to </w:t>
      </w:r>
      <w:r>
        <w:t>its</w:t>
      </w:r>
      <w:r w:rsidRPr="00884935">
        <w:t xml:space="preserve"> part of the organisation and not NHS England more widely</w:t>
      </w:r>
      <w:r>
        <w:t xml:space="preserve">. </w:t>
      </w:r>
    </w:p>
  </w:footnote>
  <w:footnote w:id="18">
    <w:p w:rsidR="0098525C" w:rsidRDefault="0098525C">
      <w:pPr>
        <w:pStyle w:val="FootnoteText"/>
      </w:pPr>
      <w:r>
        <w:rPr>
          <w:rStyle w:val="FootnoteReference"/>
        </w:rPr>
        <w:footnoteRef/>
      </w:r>
      <w:r>
        <w:t xml:space="preserve"> Further information for multi-incident investigations is available online: </w:t>
      </w:r>
      <w:hyperlink r:id="rId4" w:history="1">
        <w:r w:rsidRPr="00B92E18">
          <w:rPr>
            <w:rStyle w:val="Hyperlink"/>
          </w:rPr>
          <w:t>http://www.nrls.npsa.nhs.uk/resources/?entryid45=75355</w:t>
        </w:r>
      </w:hyperlink>
      <w:r>
        <w:t xml:space="preserve"> </w:t>
      </w:r>
    </w:p>
  </w:footnote>
  <w:footnote w:id="19">
    <w:p w:rsidR="0098525C" w:rsidRDefault="0098525C">
      <w:pPr>
        <w:pStyle w:val="FootnoteText"/>
      </w:pPr>
      <w:r>
        <w:rPr>
          <w:rStyle w:val="FootnoteReference"/>
        </w:rPr>
        <w:footnoteRef/>
      </w:r>
      <w:r>
        <w:t xml:space="preserve"> Those affected must be involved </w:t>
      </w:r>
      <w:r w:rsidRPr="00F219C7">
        <w:t xml:space="preserve">in a manner which is consistent </w:t>
      </w:r>
      <w:r>
        <w:t>with the principles outlined in Part Two of this Framework.</w:t>
      </w:r>
    </w:p>
  </w:footnote>
  <w:footnote w:id="20">
    <w:p w:rsidR="0098525C" w:rsidRDefault="0098525C">
      <w:pPr>
        <w:pStyle w:val="FootnoteText"/>
      </w:pPr>
      <w:r>
        <w:rPr>
          <w:rStyle w:val="FootnoteReference"/>
        </w:rPr>
        <w:footnoteRef/>
      </w:r>
      <w:r>
        <w:t xml:space="preserve"> Further information is available online: </w:t>
      </w:r>
      <w:hyperlink r:id="rId5" w:history="1">
        <w:r w:rsidRPr="00B92E18">
          <w:rPr>
            <w:rStyle w:val="Hyperlink"/>
          </w:rPr>
          <w:t>http://www.england.nhs.uk/ourwork/patientsafety/report-patient-safety/</w:t>
        </w:r>
      </w:hyperlink>
      <w:r>
        <w:t xml:space="preserve"> </w:t>
      </w:r>
    </w:p>
  </w:footnote>
  <w:footnote w:id="21">
    <w:p w:rsidR="0098525C" w:rsidRDefault="0098525C">
      <w:pPr>
        <w:pStyle w:val="FootnoteText"/>
      </w:pPr>
      <w:r>
        <w:rPr>
          <w:rStyle w:val="FootnoteReference"/>
        </w:rPr>
        <w:footnoteRef/>
      </w:r>
      <w:r>
        <w:t xml:space="preserve"> Relevant organisations (i.e. those who co-commission and /or co-manage care) should develop a memorandum of understanding or develop, in agreement with one another, incident investigation policies about investigations involving third parties so that there is a clear joint understanding of how such circumstances should be managed. </w:t>
      </w:r>
      <w:r w:rsidRPr="00F357D2">
        <w:t xml:space="preserve">The Department of Health Memorandum of </w:t>
      </w:r>
      <w:r>
        <w:t>U</w:t>
      </w:r>
      <w:r w:rsidRPr="00F357D2">
        <w:t xml:space="preserve">nderstanding: investigating patient safety incidents involving unexpected death or serious untoward harm (2006) </w:t>
      </w:r>
      <w:r>
        <w:t xml:space="preserve">provides a source for reference where </w:t>
      </w:r>
      <w:r w:rsidRPr="00F357D2">
        <w:t>a serious incident occurs and an investigation is also required by the police, the Health and Safety Executive and/or the Coroner.</w:t>
      </w:r>
      <w:r>
        <w:t xml:space="preserve"> However this guidance is currently under review. </w:t>
      </w:r>
    </w:p>
  </w:footnote>
  <w:footnote w:id="22">
    <w:p w:rsidR="0098525C" w:rsidRPr="002938D0" w:rsidRDefault="0098525C">
      <w:pPr>
        <w:pStyle w:val="FootnoteText"/>
      </w:pPr>
      <w:r w:rsidRPr="002938D0">
        <w:rPr>
          <w:rStyle w:val="FootnoteReference"/>
        </w:rPr>
        <w:footnoteRef/>
      </w:r>
      <w:r w:rsidRPr="002938D0">
        <w:t xml:space="preserve"> Investigations linked to complaints must be considered and agreed in line with guidance issued by the Department of Health</w:t>
      </w:r>
    </w:p>
  </w:footnote>
  <w:footnote w:id="23">
    <w:p w:rsidR="0098525C" w:rsidRDefault="0098525C">
      <w:pPr>
        <w:pStyle w:val="FootnoteText"/>
      </w:pPr>
      <w:r w:rsidRPr="002938D0">
        <w:rPr>
          <w:rStyle w:val="FootnoteReference"/>
        </w:rPr>
        <w:footnoteRef/>
      </w:r>
      <w:r w:rsidRPr="002938D0">
        <w:t xml:space="preserve"> </w:t>
      </w:r>
      <w:r>
        <w:t xml:space="preserve">Guidance is </w:t>
      </w:r>
      <w:r w:rsidRPr="002938D0">
        <w:t xml:space="preserve">available online: </w:t>
      </w:r>
      <w:hyperlink r:id="rId6" w:history="1">
        <w:r w:rsidRPr="002938D0">
          <w:rPr>
            <w:rStyle w:val="Hyperlink"/>
          </w:rPr>
          <w:t>http://www.ppo.gov.uk/updated-guidance-for-clinical-reviews/</w:t>
        </w:r>
      </w:hyperlink>
      <w:r>
        <w:t xml:space="preserve"> </w:t>
      </w:r>
    </w:p>
  </w:footnote>
  <w:footnote w:id="24">
    <w:p w:rsidR="0098525C" w:rsidRDefault="0098525C">
      <w:pPr>
        <w:pStyle w:val="FootnoteText"/>
      </w:pPr>
      <w:r>
        <w:rPr>
          <w:rStyle w:val="FootnoteReference"/>
        </w:rPr>
        <w:footnoteRef/>
      </w:r>
      <w:r>
        <w:t xml:space="preserve"> Available online: </w:t>
      </w:r>
      <w:hyperlink r:id="rId7" w:history="1">
        <w:r w:rsidRPr="00B92E18">
          <w:rPr>
            <w:rStyle w:val="Hyperlink"/>
          </w:rPr>
          <w:t>https://www.gov.uk/government/uploads/system/uploads/attachment_data/file/281368/Working_together_to_safeguard_children.pdf</w:t>
        </w:r>
      </w:hyperlink>
      <w:r>
        <w:t xml:space="preserve"> </w:t>
      </w:r>
      <w:r w:rsidRPr="00BA5DE3">
        <w:t xml:space="preserve">  </w:t>
      </w:r>
      <w:r>
        <w:t xml:space="preserve"> </w:t>
      </w:r>
    </w:p>
  </w:footnote>
  <w:footnote w:id="25">
    <w:p w:rsidR="0098525C" w:rsidRDefault="0098525C">
      <w:pPr>
        <w:pStyle w:val="FootnoteText"/>
      </w:pPr>
      <w:r>
        <w:rPr>
          <w:rStyle w:val="FootnoteReference"/>
        </w:rPr>
        <w:footnoteRef/>
      </w:r>
      <w:r>
        <w:t xml:space="preserve"> Available online</w:t>
      </w:r>
      <w:r w:rsidRPr="00BA5DE3">
        <w:t xml:space="preserve">: </w:t>
      </w:r>
      <w:hyperlink r:id="rId8" w:history="1">
        <w:r w:rsidRPr="00B92E18">
          <w:rPr>
            <w:rStyle w:val="Hyperlink"/>
          </w:rPr>
          <w:t>http://careandsupportregs.dh.gov.uk/category/adult-safeguarding/</w:t>
        </w:r>
      </w:hyperlink>
      <w:r>
        <w:t xml:space="preserve"> </w:t>
      </w:r>
    </w:p>
  </w:footnote>
  <w:footnote w:id="26">
    <w:p w:rsidR="0098525C" w:rsidRDefault="0098525C">
      <w:pPr>
        <w:pStyle w:val="FootnoteText"/>
      </w:pPr>
      <w:r>
        <w:rPr>
          <w:rStyle w:val="FootnoteReference"/>
        </w:rPr>
        <w:footnoteRef/>
      </w:r>
      <w:r>
        <w:t xml:space="preserve"> Updated guidance will be issued</w:t>
      </w:r>
      <w:r w:rsidRPr="00B13013">
        <w:t xml:space="preserve"> in 2015.  Until that point the Interim Guidance for Managing Screening Incidents (2013) should be followed.</w:t>
      </w:r>
    </w:p>
  </w:footnote>
  <w:footnote w:id="27">
    <w:p w:rsidR="0098525C" w:rsidRDefault="0098525C">
      <w:pPr>
        <w:pStyle w:val="FootnoteText"/>
      </w:pPr>
      <w:r>
        <w:rPr>
          <w:rStyle w:val="FootnoteReference"/>
        </w:rPr>
        <w:footnoteRef/>
      </w:r>
      <w:r>
        <w:t xml:space="preserve"> </w:t>
      </w:r>
      <w:r w:rsidRPr="0056623F">
        <w:t>The Department of Health</w:t>
      </w:r>
      <w:r>
        <w:t xml:space="preserve"> has</w:t>
      </w:r>
      <w:r w:rsidRPr="0056623F">
        <w:t xml:space="preserve"> introduced regulations</w:t>
      </w:r>
      <w:r>
        <w:t xml:space="preserve"> for</w:t>
      </w:r>
      <w:r w:rsidRPr="0056623F">
        <w:t xml:space="preserve"> the Duty of Candour</w:t>
      </w:r>
      <w:r>
        <w:t>.</w:t>
      </w:r>
      <w:r w:rsidRPr="005525B4">
        <w:t xml:space="preserve"> </w:t>
      </w:r>
      <w:r>
        <w:t xml:space="preserve">It </w:t>
      </w:r>
      <w:r w:rsidRPr="005525B4">
        <w:t>requires providers to notify anyone who has been subject (or someone lawfully acting on their behalf, such as families and carers) to a</w:t>
      </w:r>
      <w:r>
        <w:t xml:space="preserve"> ‘notifiable</w:t>
      </w:r>
      <w:r w:rsidRPr="005525B4">
        <w:t xml:space="preserve"> incident</w:t>
      </w:r>
      <w:r>
        <w:t xml:space="preserve">’ i.e. incident </w:t>
      </w:r>
      <w:r w:rsidRPr="005525B4">
        <w:t>involving moderate or severe harm or death. This notification must include an appropriate apology and information relating to the incident. Failure to do so may lead to regulatory action</w:t>
      </w:r>
      <w:r>
        <w:t xml:space="preserve">. Further information is available from </w:t>
      </w:r>
      <w:hyperlink r:id="rId9" w:history="1">
        <w:r w:rsidRPr="00EC6AA5">
          <w:rPr>
            <w:rStyle w:val="Hyperlink"/>
          </w:rPr>
          <w:t>http://www.cqc.org.uk/sites/default/files/20141120_doc_fppf_final_nhs_provider_guidance_v1-0.pdf</w:t>
        </w:r>
      </w:hyperlink>
      <w:r>
        <w:t xml:space="preserve"> </w:t>
      </w:r>
    </w:p>
  </w:footnote>
  <w:footnote w:id="28">
    <w:p w:rsidR="0098525C" w:rsidRDefault="0098525C">
      <w:pPr>
        <w:pStyle w:val="FootnoteText"/>
      </w:pPr>
      <w:r>
        <w:rPr>
          <w:rStyle w:val="FootnoteReference"/>
        </w:rPr>
        <w:footnoteRef/>
      </w:r>
      <w:r>
        <w:t xml:space="preserve"> The Incident Decision Tree (first published by the NPSA) aims to help the NHS move away from attributing blame and instead find the cause when things go wrong. The goal is to promote fair and consistent staff treatment within and between healthcare organisations. NHS England is planning the re-launch of the Incident Decision Tree during 2015/16. </w:t>
      </w:r>
    </w:p>
  </w:footnote>
  <w:footnote w:id="29">
    <w:p w:rsidR="0098525C" w:rsidRDefault="0098525C">
      <w:pPr>
        <w:pStyle w:val="FootnoteText"/>
      </w:pPr>
      <w:r>
        <w:rPr>
          <w:rStyle w:val="FootnoteReference"/>
        </w:rPr>
        <w:footnoteRef/>
      </w:r>
      <w:r>
        <w:t xml:space="preserve"> </w:t>
      </w:r>
      <w:r w:rsidRPr="002938D0">
        <w:t>Tools and training resources to support robust systems investigation in the NHS are available to download from http://www.nrls.npsa.nhs.uk/resources/collections/root-cause-analysis/</w:t>
      </w:r>
    </w:p>
  </w:footnote>
  <w:footnote w:id="30">
    <w:p w:rsidR="0098525C" w:rsidRDefault="0098525C">
      <w:pPr>
        <w:pStyle w:val="FootnoteText"/>
      </w:pPr>
      <w:r>
        <w:rPr>
          <w:rStyle w:val="FootnoteReference"/>
        </w:rPr>
        <w:footnoteRef/>
      </w:r>
      <w:r>
        <w:t xml:space="preserve"> Please note in some circumstances the Local Authority or another external body may be responsible for managing and co-ordinating the investigation process. Where this is the case, providers and commissioners must contribute appropriately and must gain assurance that problems and solutions relating to healthcare issues will be identified and appropriately actioned. </w:t>
      </w:r>
    </w:p>
  </w:footnote>
  <w:footnote w:id="31">
    <w:p w:rsidR="0098525C" w:rsidRPr="00B12434" w:rsidRDefault="0098525C">
      <w:pPr>
        <w:pStyle w:val="FootnoteText"/>
      </w:pPr>
      <w:r>
        <w:rPr>
          <w:rStyle w:val="FootnoteReference"/>
        </w:rPr>
        <w:footnoteRef/>
      </w:r>
      <w:r>
        <w:t xml:space="preserve"> </w:t>
      </w:r>
      <w:r w:rsidRPr="002938D0">
        <w:t>Quality in the New Health System, Main</w:t>
      </w:r>
      <w:r w:rsidRPr="002938D0">
        <w:rPr>
          <w:i/>
        </w:rPr>
        <w:t xml:space="preserve">taining and Improving Quality.  </w:t>
      </w:r>
      <w:r w:rsidRPr="002938D0">
        <w:t>National Quality Board, Jan</w:t>
      </w:r>
      <w:r>
        <w:t>uary</w:t>
      </w:r>
      <w:r w:rsidRPr="002938D0">
        <w:t xml:space="preserve"> 2013</w:t>
      </w:r>
    </w:p>
  </w:footnote>
  <w:footnote w:id="32">
    <w:p w:rsidR="0098525C" w:rsidRDefault="0098525C">
      <w:pPr>
        <w:pStyle w:val="FootnoteText"/>
      </w:pPr>
      <w:r>
        <w:rPr>
          <w:rStyle w:val="FootnoteReference"/>
        </w:rPr>
        <w:footnoteRef/>
      </w:r>
      <w:r>
        <w:t xml:space="preserve"> Statements taken to support the serious incident investigation do not need to be signed. They are written as aides-memoir to support the investigation process to inform learning. Where formal statements are required (as part of court/criminal proceedings) staff must receive the appropriate support and guidance from the organisations risk manager and legal advisors. Clear policies and procedures must be in place to support formal statement writing. </w:t>
      </w:r>
    </w:p>
  </w:footnote>
  <w:footnote w:id="33">
    <w:p w:rsidR="0098525C" w:rsidRDefault="0098525C">
      <w:pPr>
        <w:pStyle w:val="FootnoteText"/>
      </w:pPr>
      <w:r>
        <w:rPr>
          <w:rStyle w:val="FootnoteReference"/>
        </w:rPr>
        <w:footnoteRef/>
      </w:r>
      <w:r>
        <w:t xml:space="preserve"> CCGs can ask their respective sub-region to review investigation reports. Regions and sub-regions must establish appropriate mechanisms for review of their own investigations this can include establishing peer review arrangements with neighbouring regional and sub-regional teams.</w:t>
      </w:r>
    </w:p>
  </w:footnote>
  <w:footnote w:id="34">
    <w:p w:rsidR="0098525C" w:rsidRDefault="0098525C">
      <w:pPr>
        <w:pStyle w:val="FootnoteText"/>
      </w:pPr>
      <w:r>
        <w:rPr>
          <w:rStyle w:val="FootnoteReference"/>
        </w:rPr>
        <w:footnoteRef/>
      </w:r>
      <w:r>
        <w:t xml:space="preserve"> </w:t>
      </w:r>
      <w:r w:rsidRPr="00124268">
        <w:t xml:space="preserve">For further information on: How to make your Quality Surveillance Group effective visit: </w:t>
      </w:r>
      <w:hyperlink r:id="rId10" w:history="1">
        <w:r w:rsidRPr="00B92E18">
          <w:rPr>
            <w:rStyle w:val="Hyperlink"/>
          </w:rPr>
          <w:t>http://www.england.nhs.uk/wp-content/uploads/2014/03/quality-surv-grp-effective.pdf</w:t>
        </w:r>
      </w:hyperlink>
      <w:r>
        <w:t xml:space="preserve"> </w:t>
      </w:r>
    </w:p>
  </w:footnote>
  <w:footnote w:id="35">
    <w:p w:rsidR="0098525C" w:rsidRDefault="0098525C">
      <w:pPr>
        <w:pStyle w:val="FootnoteText"/>
      </w:pPr>
      <w:r>
        <w:rPr>
          <w:rStyle w:val="FootnoteReference"/>
        </w:rPr>
        <w:footnoteRef/>
      </w:r>
      <w:r>
        <w:t xml:space="preserve"> Advice from Information Governance leads should be sought early on to help support this process. They can</w:t>
      </w:r>
      <w:r w:rsidRPr="00740B2C">
        <w:t xml:space="preserve"> </w:t>
      </w:r>
      <w:r>
        <w:t xml:space="preserve">advise on </w:t>
      </w:r>
      <w:r w:rsidRPr="00740B2C">
        <w:t xml:space="preserve">what information </w:t>
      </w:r>
      <w:r>
        <w:t xml:space="preserve">can/should be used and </w:t>
      </w:r>
      <w:r w:rsidRPr="00740B2C">
        <w:t>what needs to be done to s</w:t>
      </w:r>
      <w:r>
        <w:t xml:space="preserve">upport the use of personal and </w:t>
      </w:r>
      <w:r w:rsidRPr="00740B2C">
        <w:t>patient</w:t>
      </w:r>
      <w:r>
        <w:t xml:space="preserve"> confidential</w:t>
      </w:r>
      <w:r w:rsidRPr="00740B2C">
        <w:t xml:space="preserve"> information</w:t>
      </w:r>
      <w:r>
        <w:t xml:space="preserve">. Appropriate use of information that might relate to court or judicial proceedings should also be discussed and understood as appropriate. </w:t>
      </w:r>
    </w:p>
  </w:footnote>
  <w:footnote w:id="36">
    <w:p w:rsidR="0098525C" w:rsidRDefault="0098525C" w:rsidP="000748B2">
      <w:pPr>
        <w:pStyle w:val="FootnoteText"/>
      </w:pPr>
      <w:r>
        <w:rPr>
          <w:rStyle w:val="FootnoteReference"/>
        </w:rPr>
        <w:footnoteRef/>
      </w:r>
      <w:r>
        <w:t xml:space="preserve"> A clinician with relevant expertise who is not involved in delivery of care to the patient</w:t>
      </w:r>
    </w:p>
  </w:footnote>
  <w:footnote w:id="37">
    <w:p w:rsidR="0098525C" w:rsidRDefault="0098525C">
      <w:pPr>
        <w:pStyle w:val="FootnoteText"/>
      </w:pPr>
      <w:r>
        <w:rPr>
          <w:rStyle w:val="FootnoteReference"/>
        </w:rPr>
        <w:footnoteRef/>
      </w:r>
      <w:r>
        <w:t xml:space="preserve"> This may depend on local procedures and capacity to ensure de-logging of incidents is performed in a timely manner.</w:t>
      </w:r>
    </w:p>
  </w:footnote>
  <w:footnote w:id="38">
    <w:p w:rsidR="0098525C" w:rsidRDefault="0098525C" w:rsidP="00FC079A">
      <w:pPr>
        <w:pStyle w:val="FootnoteText"/>
      </w:pPr>
      <w:r>
        <w:rPr>
          <w:rStyle w:val="FootnoteReference"/>
        </w:rPr>
        <w:footnoteRef/>
      </w:r>
      <w:r>
        <w:t xml:space="preserve"> Providers require an N3 connection and authorisation from their local NHS England Area Team in order to set up a STEIS account. Where providers are unable to access STEIS the commissioner must report the serious </w:t>
      </w:r>
      <w:r w:rsidRPr="004043CA">
        <w:t xml:space="preserve">incident on the system on the provider’s behalf. A suitable Serious Incident Review Form (example provided in </w:t>
      </w:r>
      <w:r>
        <w:t>A</w:t>
      </w:r>
      <w:r w:rsidRPr="004043CA">
        <w:t>ppendix 6)</w:t>
      </w:r>
      <w:r>
        <w:t xml:space="preserve"> should be completed in these circumstances in order to inform the relevant commissioner. </w:t>
      </w:r>
    </w:p>
  </w:footnote>
  <w:footnote w:id="39">
    <w:p w:rsidR="0098525C" w:rsidRDefault="0098525C" w:rsidP="006F535D">
      <w:pPr>
        <w:pStyle w:val="FootnoteText"/>
      </w:pPr>
      <w:r>
        <w:rPr>
          <w:rStyle w:val="FootnoteReference"/>
        </w:rPr>
        <w:footnoteRef/>
      </w:r>
      <w:r>
        <w:t xml:space="preserve"> </w:t>
      </w:r>
      <w:r w:rsidRPr="00D131ED">
        <w:t xml:space="preserve"> Guidance available online at </w:t>
      </w:r>
      <w:hyperlink r:id="rId11" w:history="1">
        <w:r w:rsidRPr="006638A2">
          <w:rPr>
            <w:rStyle w:val="Hyperlink"/>
          </w:rPr>
          <w:t>http://www.england.nhs.uk/ourwork/part-rel/nqb/</w:t>
        </w:r>
      </w:hyperlink>
      <w:r>
        <w:t xml:space="preserve"> </w:t>
      </w:r>
    </w:p>
  </w:footnote>
  <w:footnote w:id="40">
    <w:p w:rsidR="0098525C" w:rsidRDefault="0098525C">
      <w:pPr>
        <w:pStyle w:val="FootnoteText"/>
      </w:pPr>
      <w:r>
        <w:rPr>
          <w:rStyle w:val="FootnoteReference"/>
        </w:rPr>
        <w:footnoteRef/>
      </w:r>
      <w:r>
        <w:t xml:space="preserve"> </w:t>
      </w:r>
      <w:r w:rsidRPr="004043CA">
        <w:t xml:space="preserve">Further information available online: </w:t>
      </w:r>
      <w:hyperlink r:id="rId12" w:history="1">
        <w:r w:rsidRPr="00B92E18">
          <w:rPr>
            <w:rStyle w:val="Hyperlink"/>
          </w:rPr>
          <w:t>http://www.england.nhs.uk/ourwork/patientsafety/report-patient-safety/</w:t>
        </w:r>
      </w:hyperlink>
      <w:r>
        <w:t xml:space="preserve"> </w:t>
      </w:r>
    </w:p>
  </w:footnote>
  <w:footnote w:id="41">
    <w:p w:rsidR="0098525C" w:rsidRDefault="0098525C">
      <w:pPr>
        <w:pStyle w:val="FootnoteText"/>
      </w:pPr>
      <w:r w:rsidRPr="000E1D84">
        <w:rPr>
          <w:rStyle w:val="FootnoteReference"/>
          <w:sz w:val="18"/>
        </w:rPr>
        <w:footnoteRef/>
      </w:r>
      <w:r w:rsidRPr="000E1D84">
        <w:rPr>
          <w:sz w:val="18"/>
        </w:rPr>
        <w:t xml:space="preserve"> The investigation toolkit </w:t>
      </w:r>
      <w:r>
        <w:rPr>
          <w:sz w:val="18"/>
        </w:rPr>
        <w:t xml:space="preserve">which </w:t>
      </w:r>
      <w:r w:rsidRPr="000E1D84">
        <w:rPr>
          <w:sz w:val="18"/>
        </w:rPr>
        <w:t xml:space="preserve">can be accessed from </w:t>
      </w:r>
      <w:hyperlink r:id="rId13" w:history="1">
        <w:r w:rsidRPr="00553458">
          <w:rPr>
            <w:rStyle w:val="Hyperlink"/>
            <w:sz w:val="18"/>
          </w:rPr>
          <w:t>https://report.nrls.nhs.uk/rcatoolkit/course/index.htm</w:t>
        </w:r>
      </w:hyperlink>
      <w:r>
        <w:rPr>
          <w:sz w:val="18"/>
        </w:rPr>
        <w:t xml:space="preserve"> p</w:t>
      </w:r>
      <w:r w:rsidRPr="000E1D84">
        <w:rPr>
          <w:sz w:val="18"/>
        </w:rPr>
        <w:t>rovides</w:t>
      </w:r>
      <w:r>
        <w:rPr>
          <w:sz w:val="18"/>
        </w:rPr>
        <w:t xml:space="preserve"> </w:t>
      </w:r>
      <w:r w:rsidRPr="000E1D84">
        <w:rPr>
          <w:sz w:val="18"/>
        </w:rPr>
        <w:t>a wealth of tools, techniques and resources to support each stage of the investigation.</w:t>
      </w:r>
    </w:p>
  </w:footnote>
  <w:footnote w:id="42">
    <w:p w:rsidR="0098525C" w:rsidRDefault="0098525C">
      <w:pPr>
        <w:pStyle w:val="FootnoteText"/>
      </w:pPr>
      <w:r>
        <w:rPr>
          <w:rStyle w:val="FootnoteReference"/>
        </w:rPr>
        <w:footnoteRef/>
      </w:r>
      <w:r>
        <w:t xml:space="preserve">  This may </w:t>
      </w:r>
      <w:r w:rsidRPr="003C2EDC">
        <w:t>disclose</w:t>
      </w:r>
      <w:r>
        <w:t xml:space="preserve"> confidential personal </w:t>
      </w:r>
      <w:r w:rsidRPr="003C2EDC">
        <w:t xml:space="preserve">information for which consent has been obtained, or </w:t>
      </w:r>
      <w:r>
        <w:t>where</w:t>
      </w:r>
      <w:r w:rsidRPr="003C2EDC">
        <w:t xml:space="preserve"> patient </w:t>
      </w:r>
      <w:r>
        <w:t xml:space="preserve">confidentiality is overridden in the public interest. This should be considered by the organisation’s Caldicott Guardian and </w:t>
      </w:r>
      <w:r w:rsidRPr="003C2EDC">
        <w:t>confirmed by legal advice</w:t>
      </w:r>
      <w:r>
        <w:t xml:space="preserve">, where required. NHS England is currently seeking advice in relation to the development of national guidance available to further support this matter. In the meantime, advice should be sought in relation to each case. </w:t>
      </w:r>
    </w:p>
  </w:footnote>
  <w:footnote w:id="43">
    <w:p w:rsidR="0098525C" w:rsidRDefault="0098525C">
      <w:pPr>
        <w:pStyle w:val="FootnoteText"/>
      </w:pPr>
      <w:r>
        <w:rPr>
          <w:rStyle w:val="FootnoteReference"/>
        </w:rPr>
        <w:footnoteRef/>
      </w:r>
      <w:r>
        <w:t xml:space="preserve"> </w:t>
      </w:r>
      <w:r w:rsidRPr="00B659BD">
        <w:t>The Incident Decision Tree aims to help the NHS move away from attributing blame and instead find the cause when things go wrong. The goal is to promote fair and consistent staff treatment within and between healthcare organisations. NHS England is currently redeveloping the Incident Decision Tree with a plan to re-launch</w:t>
      </w:r>
      <w:r>
        <w:t xml:space="preserve"> 2015/16</w:t>
      </w:r>
    </w:p>
  </w:footnote>
  <w:footnote w:id="44">
    <w:p w:rsidR="0098525C" w:rsidRDefault="0098525C">
      <w:pPr>
        <w:pStyle w:val="FootnoteText"/>
      </w:pPr>
      <w:r>
        <w:rPr>
          <w:rStyle w:val="FootnoteReference"/>
        </w:rPr>
        <w:footnoteRef/>
      </w:r>
      <w:r>
        <w:t xml:space="preserve"> </w:t>
      </w:r>
      <w:r w:rsidRPr="00B659BD">
        <w:t>Healthcare organisations should also encourage staff to seek support from relevant profess</w:t>
      </w:r>
      <w:r>
        <w:t xml:space="preserve">ional bodies such as the General Medical Council (GMC), </w:t>
      </w:r>
      <w:r w:rsidRPr="00B659BD">
        <w:t>Nursing and Midwifery Council</w:t>
      </w:r>
      <w:r>
        <w:t xml:space="preserve"> (NMC), General Pharmaceutical Council (GPhC) see </w:t>
      </w:r>
      <w:hyperlink r:id="rId14" w:history="1">
        <w:r w:rsidRPr="00B92E18">
          <w:rPr>
            <w:rStyle w:val="Hyperlink"/>
          </w:rPr>
          <w:t>http://www.professionalstandards.org.uk/regulators/statutory-regulators-directory</w:t>
        </w:r>
      </w:hyperlink>
      <w:r>
        <w:t xml:space="preserve"> for further information. </w:t>
      </w:r>
    </w:p>
  </w:footnote>
  <w:footnote w:id="45">
    <w:p w:rsidR="0098525C" w:rsidRDefault="0098525C">
      <w:pPr>
        <w:pStyle w:val="FootnoteText"/>
      </w:pPr>
      <w:r>
        <w:rPr>
          <w:rStyle w:val="FootnoteReference"/>
        </w:rPr>
        <w:footnoteRef/>
      </w:r>
      <w:r>
        <w:t xml:space="preserve"> It may be appropriate to separate confidential material, in part or full, into a confidential annexe to ensure the report can be shared effectively and appropriately with and without this information as required. A clearly defined distribution list should be developed. </w:t>
      </w:r>
    </w:p>
  </w:footnote>
  <w:footnote w:id="46">
    <w:p w:rsidR="0098525C" w:rsidRDefault="0098525C">
      <w:pPr>
        <w:pStyle w:val="FootnoteText"/>
      </w:pPr>
      <w:r>
        <w:rPr>
          <w:rStyle w:val="FootnoteReference"/>
        </w:rPr>
        <w:footnoteRef/>
      </w:r>
      <w:r>
        <w:t xml:space="preserve"> </w:t>
      </w:r>
      <w:r w:rsidRPr="009F7130">
        <w:t>Recommendations to inform changes</w:t>
      </w:r>
      <w:r>
        <w:t xml:space="preserve"> to the national reporting templates</w:t>
      </w:r>
      <w:r w:rsidRPr="009F7130">
        <w:t xml:space="preserve"> should </w:t>
      </w:r>
      <w:r w:rsidRPr="00CE4F84">
        <w:t>be sent to</w:t>
      </w:r>
      <w:r w:rsidRPr="00D131ED">
        <w:t xml:space="preserve"> england.RCAinvestigation@nhs.net</w:t>
      </w:r>
    </w:p>
  </w:footnote>
  <w:footnote w:id="47">
    <w:p w:rsidR="0098525C" w:rsidRDefault="0098525C">
      <w:pPr>
        <w:pStyle w:val="FootnoteText"/>
      </w:pPr>
      <w:r>
        <w:rPr>
          <w:rStyle w:val="FootnoteReference"/>
        </w:rPr>
        <w:footnoteRef/>
      </w:r>
      <w:r>
        <w:t xml:space="preserve"> Within the current SI system (STEIS) commissioners may ‘stop the clock’ where there is a formal request to suspend the investigation. The date for completion should be reviewed and agreed again once the investigation can recommence.  </w:t>
      </w:r>
    </w:p>
  </w:footnote>
  <w:footnote w:id="48">
    <w:p w:rsidR="0098525C" w:rsidRDefault="0098525C">
      <w:pPr>
        <w:pStyle w:val="FootnoteText"/>
      </w:pPr>
      <w:r>
        <w:rPr>
          <w:rStyle w:val="FootnoteReference"/>
        </w:rPr>
        <w:footnoteRef/>
      </w:r>
      <w:r>
        <w:t xml:space="preserve"> For example where a commissioner assists and/or provides advice or support to a small independent provider in the investigation process. </w:t>
      </w:r>
    </w:p>
  </w:footnote>
  <w:footnote w:id="49">
    <w:p w:rsidR="0098525C" w:rsidRDefault="0098525C">
      <w:pPr>
        <w:pStyle w:val="FootnoteText"/>
      </w:pPr>
      <w:r>
        <w:rPr>
          <w:rStyle w:val="FootnoteReference"/>
        </w:rPr>
        <w:footnoteRef/>
      </w:r>
      <w:r>
        <w:t xml:space="preserve"> 6 months is included as a guide and each case should be considered individually- it may be appropriate to declare a serious incident and commission an independent investigation for a homicide by a person discharged from mental health care more than 6 months prior to the event.</w:t>
      </w:r>
    </w:p>
  </w:footnote>
  <w:footnote w:id="50">
    <w:p w:rsidR="0098525C" w:rsidRDefault="0098525C">
      <w:pPr>
        <w:pStyle w:val="FootnoteText"/>
      </w:pPr>
      <w:r>
        <w:rPr>
          <w:rStyle w:val="FootnoteReference"/>
        </w:rPr>
        <w:footnoteRef/>
      </w:r>
      <w:r>
        <w:t xml:space="preserve"> Where there are multiple commissioning organisations involved, this Framework encourages providers and commissioners to establish a lead commissioning model (wherever possible) so that the provider engages with one commissioner on a frequent basis. See Part Two, section 2 of this Framework for further details. </w:t>
      </w:r>
    </w:p>
  </w:footnote>
  <w:footnote w:id="51">
    <w:p w:rsidR="0098525C" w:rsidRDefault="0098525C" w:rsidP="00290060">
      <w:pPr>
        <w:pStyle w:val="FootnoteText"/>
      </w:pPr>
      <w:r w:rsidRPr="004B1087">
        <w:rPr>
          <w:rStyle w:val="FootnoteReference"/>
        </w:rPr>
        <w:footnoteRef/>
      </w:r>
      <w:r w:rsidRPr="004B1087">
        <w:t xml:space="preserve"> The Incident Decision Tree aims to help the NHS move away from attributing blame and instead find the cause when things go wrong. The goal is to promote fair and consistent staff treatment within and between healthcare organisations. NHS England is currently redeveloping the Incident Decision Tree with a plan to re-launch in early 201</w:t>
      </w:r>
      <w:r>
        <w:t>5</w:t>
      </w:r>
      <w:r w:rsidRPr="004B1087">
        <w:t>.</w:t>
      </w:r>
      <w:r w:rsidRPr="00DD153C">
        <w:t xml:space="preserve"> </w:t>
      </w:r>
    </w:p>
  </w:footnote>
  <w:footnote w:id="52">
    <w:p w:rsidR="0098525C" w:rsidRDefault="0098525C">
      <w:pPr>
        <w:pStyle w:val="FootnoteText"/>
      </w:pPr>
      <w:r>
        <w:rPr>
          <w:rStyle w:val="FootnoteReference"/>
        </w:rPr>
        <w:footnoteRef/>
      </w:r>
      <w:r>
        <w:t xml:space="preserve"> A group established by the regional investigation team to review cases requiring independent investigation which includes members with relevant subject expertise (in clinical practice and/or investigation) as well as lay members.  </w:t>
      </w:r>
    </w:p>
  </w:footnote>
  <w:footnote w:id="53">
    <w:p w:rsidR="0098525C" w:rsidRDefault="0098525C">
      <w:pPr>
        <w:pStyle w:val="FootnoteText"/>
      </w:pPr>
      <w:r>
        <w:rPr>
          <w:rStyle w:val="FootnoteReference"/>
        </w:rPr>
        <w:footnoteRef/>
      </w:r>
      <w:r>
        <w:t xml:space="preserve"> E.g. cases where </w:t>
      </w:r>
      <w:r w:rsidRPr="00F47D2C">
        <w:t xml:space="preserve">the relevant provider organisation </w:t>
      </w:r>
      <w:r>
        <w:t>has assumed</w:t>
      </w:r>
      <w:r w:rsidRPr="00F47D2C">
        <w:t xml:space="preserve"> responsibility </w:t>
      </w:r>
      <w:r>
        <w:t xml:space="preserve">(including exercising control) </w:t>
      </w:r>
      <w:r w:rsidRPr="00F47D2C">
        <w:t>for the patient’s welfare and safety</w:t>
      </w:r>
      <w:r>
        <w:t xml:space="preserve">: </w:t>
      </w:r>
      <w:r w:rsidRPr="00B2051D">
        <w:rPr>
          <w:i/>
        </w:rPr>
        <w:t xml:space="preserve">Rabone v Pennine Care NHS </w:t>
      </w:r>
      <w:r>
        <w:rPr>
          <w:i/>
        </w:rPr>
        <w:t xml:space="preserve">Foundation </w:t>
      </w:r>
      <w:r w:rsidRPr="00B2051D">
        <w:rPr>
          <w:i/>
        </w:rPr>
        <w:t>Trust</w:t>
      </w:r>
      <w:r>
        <w:t xml:space="preserve"> [2012] UKSC 2. Further advice should be sought in relation to such matters as outlined on page 66 of this guidance. </w:t>
      </w:r>
    </w:p>
  </w:footnote>
  <w:footnote w:id="54">
    <w:p w:rsidR="0098525C" w:rsidRDefault="0098525C">
      <w:pPr>
        <w:pStyle w:val="FootnoteText"/>
      </w:pPr>
      <w:r>
        <w:rPr>
          <w:rStyle w:val="FootnoteReference"/>
        </w:rPr>
        <w:footnoteRef/>
      </w:r>
      <w:r>
        <w:t xml:space="preserve"> The final decision will rest with the commissioner although advice may be sought from the Regional Investigations Team. The quality of the provider’s internal investigation should be considered in terms of its content and particularly in relation to how well the concerns of the patients and their families have been taken into consideration and addressed (refer to the assessment tool, appendix 8). </w:t>
      </w:r>
    </w:p>
  </w:footnote>
  <w:footnote w:id="55">
    <w:p w:rsidR="0098525C" w:rsidRDefault="0098525C">
      <w:pPr>
        <w:pStyle w:val="FootnoteText"/>
      </w:pPr>
      <w:r>
        <w:rPr>
          <w:rStyle w:val="FootnoteReference"/>
        </w:rPr>
        <w:footnoteRef/>
      </w:r>
      <w:r>
        <w:t xml:space="preserve"> Six months is a guide and each case should be considered individually as it may be appropriate to declare a serious incident for a homicide by a person discharged from more than 6 months prior to the event.</w:t>
      </w:r>
    </w:p>
  </w:footnote>
  <w:footnote w:id="56">
    <w:p w:rsidR="0098525C" w:rsidRDefault="0098525C">
      <w:pPr>
        <w:pStyle w:val="FootnoteText"/>
      </w:pPr>
      <w:r>
        <w:rPr>
          <w:rStyle w:val="FootnoteReference"/>
        </w:rPr>
        <w:footnoteRef/>
      </w:r>
      <w:r>
        <w:t>I</w:t>
      </w:r>
      <w:r w:rsidRPr="006E547C">
        <w:t>ssues concerning anonymity and consent for disclosure of personal information are important and should be considered at an early stage in the investigation process. Each NHS organisation has a Caldicott Guardian who is responsible for protecting  the  confidentiality  of  patient  and  service-user  information  and  enabling  appropriate information-sharing. Those investigating serious incidents can seek the advice from the Caldicott Guardian if guidance is needed about the disclosure of patient identifiable information</w:t>
      </w:r>
      <w:r>
        <w:t xml:space="preserve">.  NHS England is seeking advice in relation to the development of national guidance to support this issue.  In the meantime, advice from the Caldicott Guardian and specific legal advice (where required) must be sought on a case by case basis. </w:t>
      </w:r>
    </w:p>
  </w:footnote>
  <w:footnote w:id="57">
    <w:p w:rsidR="0098525C" w:rsidRDefault="0098525C">
      <w:pPr>
        <w:pStyle w:val="FootnoteText"/>
      </w:pPr>
      <w:r>
        <w:rPr>
          <w:rStyle w:val="FootnoteReference"/>
        </w:rPr>
        <w:footnoteRef/>
      </w:r>
      <w:r>
        <w:t xml:space="preserve"> </w:t>
      </w:r>
      <w:r w:rsidRPr="00C66770">
        <w:t>Th</w:t>
      </w:r>
      <w:r>
        <w:t>e report</w:t>
      </w:r>
      <w:r w:rsidRPr="00C66770">
        <w:t xml:space="preserve"> may disclose</w:t>
      </w:r>
      <w:r>
        <w:t xml:space="preserve"> confidential</w:t>
      </w:r>
      <w:r w:rsidRPr="00C66770">
        <w:t xml:space="preserve"> personal information for which consent has been obtained, or if patient confidentiality has been breached, this is balanced against public interest</w:t>
      </w:r>
      <w:r>
        <w:t>. This should be considered by the organisations Caldicott Guardian and</w:t>
      </w:r>
      <w:r w:rsidRPr="00C66770">
        <w:t xml:space="preserve"> confirmed by legal advice</w:t>
      </w:r>
      <w:r>
        <w:t xml:space="preserve"> where required</w:t>
      </w:r>
      <w:r w:rsidRPr="00C66770">
        <w:t>. NHS England is currently seeking advice in relation to national guidance available to further support this matter. In the meantime, advice should be sought in relation to each case.</w:t>
      </w:r>
    </w:p>
  </w:footnote>
  <w:footnote w:id="58">
    <w:p w:rsidR="0098525C" w:rsidRDefault="0098525C">
      <w:pPr>
        <w:pStyle w:val="FootnoteText"/>
      </w:pPr>
      <w:r>
        <w:rPr>
          <w:rStyle w:val="FootnoteReference"/>
        </w:rPr>
        <w:footnoteRef/>
      </w:r>
      <w:r>
        <w:t xml:space="preserve"> Further information is available online at: </w:t>
      </w:r>
      <w:hyperlink r:id="rId15" w:history="1">
        <w:r w:rsidRPr="006638A2">
          <w:rPr>
            <w:rStyle w:val="Hyperlink"/>
          </w:rPr>
          <w:t>http://www.equalityhumanrights.com/sites/default/files/documents/humanrights/hrr_article_2.pdf</w:t>
        </w:r>
      </w:hyperlink>
      <w:r>
        <w:t xml:space="preserve"> </w:t>
      </w:r>
    </w:p>
  </w:footnote>
  <w:footnote w:id="59">
    <w:p w:rsidR="0098525C" w:rsidRPr="00617F03" w:rsidRDefault="0098525C" w:rsidP="00617F03">
      <w:pPr>
        <w:pStyle w:val="FootnoteText"/>
        <w:rPr>
          <w:bCs/>
        </w:rPr>
      </w:pPr>
      <w:r>
        <w:rPr>
          <w:rStyle w:val="FootnoteReference"/>
        </w:rPr>
        <w:footnoteRef/>
      </w:r>
      <w:r>
        <w:t xml:space="preserve"> The </w:t>
      </w:r>
      <w:r w:rsidRPr="00617F03">
        <w:rPr>
          <w:bCs/>
        </w:rPr>
        <w:t>requirements of such an investigation are:</w:t>
      </w:r>
    </w:p>
    <w:p w:rsidR="0098525C" w:rsidRPr="00617F03" w:rsidRDefault="0098525C" w:rsidP="0072371B">
      <w:pPr>
        <w:pStyle w:val="FootnoteText"/>
        <w:numPr>
          <w:ilvl w:val="0"/>
          <w:numId w:val="33"/>
        </w:numPr>
        <w:rPr>
          <w:bCs/>
        </w:rPr>
      </w:pPr>
      <w:r w:rsidRPr="00617F03">
        <w:rPr>
          <w:bCs/>
        </w:rPr>
        <w:t>the authorities must act of their own motion;</w:t>
      </w:r>
    </w:p>
    <w:p w:rsidR="0098525C" w:rsidRPr="00617F03" w:rsidRDefault="0098525C" w:rsidP="0072371B">
      <w:pPr>
        <w:pStyle w:val="FootnoteText"/>
        <w:numPr>
          <w:ilvl w:val="0"/>
          <w:numId w:val="33"/>
        </w:numPr>
        <w:rPr>
          <w:bCs/>
        </w:rPr>
      </w:pPr>
      <w:r w:rsidRPr="00617F03">
        <w:rPr>
          <w:bCs/>
        </w:rPr>
        <w:t>the investigation must be carried out by a person who is independent of those implicated in the events being investigated;</w:t>
      </w:r>
    </w:p>
    <w:p w:rsidR="0098525C" w:rsidRPr="00617F03" w:rsidRDefault="0098525C" w:rsidP="0072371B">
      <w:pPr>
        <w:pStyle w:val="FootnoteText"/>
        <w:numPr>
          <w:ilvl w:val="0"/>
          <w:numId w:val="33"/>
        </w:numPr>
        <w:rPr>
          <w:bCs/>
        </w:rPr>
      </w:pPr>
      <w:r w:rsidRPr="00617F03">
        <w:rPr>
          <w:bCs/>
        </w:rPr>
        <w:t>the investigation must be effective in the sense that it must be conducted in a manner that does not undermine its ability to establish the relevant facts;</w:t>
      </w:r>
    </w:p>
    <w:p w:rsidR="0098525C" w:rsidRPr="00617F03" w:rsidRDefault="0098525C" w:rsidP="0072371B">
      <w:pPr>
        <w:pStyle w:val="FootnoteText"/>
        <w:numPr>
          <w:ilvl w:val="0"/>
          <w:numId w:val="33"/>
        </w:numPr>
        <w:rPr>
          <w:bCs/>
        </w:rPr>
      </w:pPr>
      <w:r w:rsidRPr="00617F03">
        <w:rPr>
          <w:bCs/>
        </w:rPr>
        <w:t>the investigation must be reasonably prompt;</w:t>
      </w:r>
    </w:p>
    <w:p w:rsidR="0098525C" w:rsidRPr="00617F03" w:rsidRDefault="0098525C" w:rsidP="0072371B">
      <w:pPr>
        <w:pStyle w:val="FootnoteText"/>
        <w:numPr>
          <w:ilvl w:val="0"/>
          <w:numId w:val="33"/>
        </w:numPr>
        <w:rPr>
          <w:bCs/>
        </w:rPr>
      </w:pPr>
      <w:r w:rsidRPr="00617F03">
        <w:rPr>
          <w:bCs/>
        </w:rPr>
        <w:t xml:space="preserve">there must be ‘a sufficient element of public scrutiny of the investigation or its results to secure accountability in practice as well as in theory’ </w:t>
      </w:r>
    </w:p>
    <w:p w:rsidR="0098525C" w:rsidRPr="00617F03" w:rsidRDefault="0098525C" w:rsidP="0072371B">
      <w:pPr>
        <w:pStyle w:val="FootnoteText"/>
        <w:numPr>
          <w:ilvl w:val="0"/>
          <w:numId w:val="33"/>
        </w:numPr>
        <w:rPr>
          <w:bCs/>
        </w:rPr>
      </w:pPr>
      <w:r w:rsidRPr="00617F03">
        <w:rPr>
          <w:bCs/>
        </w:rPr>
        <w:t xml:space="preserve">the degree of public scrutiny required may well vary from case to case; </w:t>
      </w:r>
    </w:p>
    <w:p w:rsidR="0098525C" w:rsidRPr="00617F03" w:rsidRDefault="0098525C" w:rsidP="0072371B">
      <w:pPr>
        <w:pStyle w:val="FootnoteText"/>
        <w:numPr>
          <w:ilvl w:val="0"/>
          <w:numId w:val="33"/>
        </w:numPr>
        <w:rPr>
          <w:bCs/>
        </w:rPr>
      </w:pPr>
      <w:r w:rsidRPr="00617F03">
        <w:rPr>
          <w:bCs/>
        </w:rPr>
        <w:t>there must be involvement of the next of kin to the extent necessary to safeguard his or her legitimate interests.</w:t>
      </w:r>
    </w:p>
    <w:p w:rsidR="0098525C" w:rsidRDefault="0098525C">
      <w:pPr>
        <w:pStyle w:val="FootnoteText"/>
      </w:pPr>
    </w:p>
  </w:footnote>
  <w:footnote w:id="60">
    <w:p w:rsidR="0098525C" w:rsidRDefault="0098525C" w:rsidP="000D32E8">
      <w:pPr>
        <w:pStyle w:val="FootnoteText"/>
      </w:pPr>
      <w:r>
        <w:rPr>
          <w:rStyle w:val="FootnoteReference"/>
        </w:rPr>
        <w:footnoteRef/>
      </w:r>
      <w:r>
        <w:t xml:space="preserve"> Home Office Multi-agency Statutory Guidance for the Conduct of Domestic Homicide Reviews (2013)</w:t>
      </w:r>
    </w:p>
    <w:p w:rsidR="0098525C" w:rsidRDefault="0072371B" w:rsidP="000D32E8">
      <w:pPr>
        <w:pStyle w:val="FootnoteText"/>
      </w:pPr>
      <w:hyperlink r:id="rId16" w:history="1">
        <w:r w:rsidR="0098525C" w:rsidRPr="00B92E18">
          <w:rPr>
            <w:rStyle w:val="Hyperlink"/>
          </w:rPr>
          <w:t>https://www.gov.uk/government/uploads/system/uploads/attachment_data/file/209020/DHR_Guidance_refresh_HO_final_WEB.pdf</w:t>
        </w:r>
      </w:hyperlink>
      <w:r w:rsidR="0098525C">
        <w:t xml:space="preserve"> </w:t>
      </w:r>
    </w:p>
  </w:footnote>
  <w:footnote w:id="61">
    <w:p w:rsidR="0098525C" w:rsidRPr="00B6282F" w:rsidRDefault="0098525C" w:rsidP="00F555EF">
      <w:pPr>
        <w:pStyle w:val="FootnoteText"/>
        <w:rPr>
          <w:rFonts w:ascii="Arial" w:hAnsi="Arial" w:cs="Arial"/>
        </w:rPr>
      </w:pPr>
      <w:r w:rsidRPr="00B6282F">
        <w:rPr>
          <w:rStyle w:val="FootnoteReference"/>
          <w:rFonts w:ascii="Arial" w:hAnsi="Arial" w:cs="Arial"/>
        </w:rPr>
        <w:footnoteRef/>
      </w:r>
      <w:r w:rsidRPr="00B6282F">
        <w:rPr>
          <w:rFonts w:ascii="Arial" w:hAnsi="Arial" w:cs="Arial"/>
        </w:rPr>
        <w:t xml:space="preserve"> </w:t>
      </w:r>
      <w:r w:rsidRPr="00F90500">
        <w:rPr>
          <w:rFonts w:asciiTheme="minorHAnsi" w:hAnsiTheme="minorHAnsi" w:cstheme="minorHAnsi"/>
        </w:rPr>
        <w:t>GP services, community pharmacy, and primary ophthalmic services (mainly NHS sight tests); all dental services - primary, community, hospital; specialised services; high-secure psychiatric services; offender health; some aspects of healthcare for members of the armed forces and their families; and public health services (screening, immunisation, services for children aged 0-5 including health visiting) on behalf of Public Health England</w:t>
      </w:r>
    </w:p>
  </w:footnote>
  <w:footnote w:id="62">
    <w:p w:rsidR="0098525C" w:rsidRDefault="0098525C" w:rsidP="00F555EF">
      <w:pPr>
        <w:pStyle w:val="FootnoteText"/>
      </w:pPr>
      <w:r>
        <w:rPr>
          <w:rStyle w:val="FootnoteReference"/>
        </w:rPr>
        <w:footnoteRef/>
      </w:r>
      <w:r>
        <w:t xml:space="preserve"> NHS England (2014) Principles for managing quality in specialised commission </w:t>
      </w:r>
    </w:p>
  </w:footnote>
  <w:footnote w:id="63">
    <w:p w:rsidR="0098525C" w:rsidRDefault="0098525C">
      <w:pPr>
        <w:pStyle w:val="FootnoteText"/>
      </w:pPr>
      <w:r>
        <w:rPr>
          <w:rStyle w:val="FootnoteReference"/>
        </w:rPr>
        <w:footnoteRef/>
      </w:r>
      <w:r>
        <w:t xml:space="preserve"> P</w:t>
      </w:r>
      <w:r>
        <w:rPr>
          <w:rFonts w:cstheme="minorHAnsi"/>
          <w:color w:val="000000"/>
          <w:szCs w:val="24"/>
        </w:rPr>
        <w:t>atients and families also have rights under information legislation, such as the Freedom of Information Act, the Data Protection Act (Subject Access Provisions), and Access to Health Records Act (where not superseded) to access information as applicable.</w:t>
      </w:r>
    </w:p>
  </w:footnote>
  <w:footnote w:id="64">
    <w:p w:rsidR="0098525C" w:rsidRPr="00534794" w:rsidRDefault="0098525C" w:rsidP="00887D79">
      <w:pPr>
        <w:pStyle w:val="FootnoteText"/>
        <w:rPr>
          <w:sz w:val="18"/>
        </w:rPr>
      </w:pPr>
      <w:r w:rsidRPr="00534794">
        <w:rPr>
          <w:rStyle w:val="FootnoteReference"/>
          <w:sz w:val="18"/>
        </w:rPr>
        <w:footnoteRef/>
      </w:r>
      <w:r w:rsidRPr="00534794">
        <w:rPr>
          <w:sz w:val="18"/>
        </w:rPr>
        <w:t xml:space="preserve"> means any unintended or unexpected incident that occurred in respect of a service user during the provision of a regulated activity that, in the reasonable opinion of a health care professional, could result in, or appears to have resulted in—</w:t>
      </w:r>
    </w:p>
    <w:p w:rsidR="0098525C" w:rsidRPr="00534794" w:rsidRDefault="0098525C" w:rsidP="00887D79">
      <w:pPr>
        <w:pStyle w:val="FootnoteText"/>
        <w:rPr>
          <w:sz w:val="18"/>
        </w:rPr>
      </w:pPr>
      <w:r w:rsidRPr="00534794">
        <w:rPr>
          <w:sz w:val="18"/>
        </w:rPr>
        <w:t>(a) the death of the service user, where the death relates directly to the incident rather than to the natural course of the service user’s illness or underlying condition, or</w:t>
      </w:r>
    </w:p>
    <w:p w:rsidR="0098525C" w:rsidRDefault="0098525C" w:rsidP="00887D79">
      <w:pPr>
        <w:pStyle w:val="FootnoteText"/>
      </w:pPr>
      <w:r w:rsidRPr="00534794">
        <w:rPr>
          <w:sz w:val="18"/>
        </w:rPr>
        <w:t>(b) severe harm, moderate harm or prolonged psychological harm to the service user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5C" w:rsidRDefault="0098525C" w:rsidP="00656382">
    <w:pPr>
      <w:pStyle w:val="Header"/>
      <w:jc w:val="center"/>
    </w:pPr>
    <w:r>
      <w:t>OFFICIAL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5C" w:rsidRDefault="0098525C">
    <w:pPr>
      <w:pStyle w:val="Header"/>
    </w:pPr>
  </w:p>
  <w:p w:rsidR="0098525C" w:rsidRDefault="0098525C" w:rsidP="00695D70">
    <w:pPr>
      <w:pStyle w:val="Header"/>
      <w:jc w:val="center"/>
    </w:pPr>
  </w:p>
  <w:sdt>
    <w:sdtPr>
      <w:alias w:val="Protective Marking"/>
      <w:tag w:val="Protective Marking"/>
      <w:id w:val="418830265"/>
      <w:showingPlcHdr/>
      <w:dropDownList>
        <w:listItem w:displayText="Classification: Official" w:value="Classification: Official"/>
        <w:listItem w:displayText="Classification: Official-Sensitive: Commercial" w:value="Classification: Official-Sensitive: Commercial"/>
        <w:listItem w:displayText="Classification: Official-Sensitive: Personal" w:value="Classification: Official-Sensitive: Personal"/>
      </w:dropDownList>
    </w:sdtPr>
    <w:sdtEndPr/>
    <w:sdtContent>
      <w:p w:rsidR="0098525C" w:rsidRDefault="0098525C" w:rsidP="00695D70">
        <w:pPr>
          <w:pStyle w:val="Header"/>
          <w:jc w:val="center"/>
        </w:pPr>
        <w:r w:rsidRPr="003E7DAD">
          <w:rPr>
            <w:rStyle w:val="PlaceholderText"/>
            <w:rFonts w:eastAsia="HGSMinchoE"/>
          </w:rPr>
          <w:t>Choose an item.</w:t>
        </w:r>
      </w:p>
    </w:sdtContent>
  </w:sdt>
  <w:p w:rsidR="0098525C" w:rsidRDefault="0098525C" w:rsidP="00695D7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2F27"/>
    <w:multiLevelType w:val="hybridMultilevel"/>
    <w:tmpl w:val="C1207A5E"/>
    <w:lvl w:ilvl="0" w:tplc="08090001">
      <w:start w:val="1"/>
      <w:numFmt w:val="bullet"/>
      <w:lvlText w:val=""/>
      <w:lvlJc w:val="left"/>
      <w:pPr>
        <w:ind w:left="1223" w:hanging="360"/>
      </w:pPr>
      <w:rPr>
        <w:rFonts w:ascii="Symbol" w:hAnsi="Symbol" w:hint="default"/>
      </w:rPr>
    </w:lvl>
    <w:lvl w:ilvl="1" w:tplc="08090003">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
    <w:nsid w:val="031C0240"/>
    <w:multiLevelType w:val="hybridMultilevel"/>
    <w:tmpl w:val="FEDA9C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65488D"/>
    <w:multiLevelType w:val="hybridMultilevel"/>
    <w:tmpl w:val="0A5E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71BE1"/>
    <w:multiLevelType w:val="hybridMultilevel"/>
    <w:tmpl w:val="27DCA3C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nsid w:val="060B7FFC"/>
    <w:multiLevelType w:val="hybridMultilevel"/>
    <w:tmpl w:val="6AAA895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nsid w:val="070869FA"/>
    <w:multiLevelType w:val="hybridMultilevel"/>
    <w:tmpl w:val="EA7AF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CE555EB"/>
    <w:multiLevelType w:val="hybridMultilevel"/>
    <w:tmpl w:val="AFFA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3E2CC7"/>
    <w:multiLevelType w:val="hybridMultilevel"/>
    <w:tmpl w:val="C2B2A6EE"/>
    <w:lvl w:ilvl="0" w:tplc="B08EC02A">
      <w:start w:val="7"/>
      <w:numFmt w:val="bullet"/>
      <w:lvlText w:val="-"/>
      <w:lvlJc w:val="left"/>
      <w:pPr>
        <w:ind w:left="1516" w:hanging="360"/>
      </w:pPr>
      <w:rPr>
        <w:rFonts w:ascii="Calibri" w:eastAsiaTheme="minorHAnsi" w:hAnsi="Calibri" w:cs="Calibri"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8">
    <w:nsid w:val="0D536E7A"/>
    <w:multiLevelType w:val="hybridMultilevel"/>
    <w:tmpl w:val="4894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BC0A6A"/>
    <w:multiLevelType w:val="hybridMultilevel"/>
    <w:tmpl w:val="9C7AA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DD143AC"/>
    <w:multiLevelType w:val="hybridMultilevel"/>
    <w:tmpl w:val="0508718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nsid w:val="0E962FFA"/>
    <w:multiLevelType w:val="hybridMultilevel"/>
    <w:tmpl w:val="927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90E74"/>
    <w:multiLevelType w:val="hybridMultilevel"/>
    <w:tmpl w:val="6B704818"/>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3">
    <w:nsid w:val="114B22FF"/>
    <w:multiLevelType w:val="hybridMultilevel"/>
    <w:tmpl w:val="A814B4A6"/>
    <w:lvl w:ilvl="0" w:tplc="B08EC02A">
      <w:start w:val="7"/>
      <w:numFmt w:val="bullet"/>
      <w:lvlText w:val="-"/>
      <w:lvlJc w:val="left"/>
      <w:pPr>
        <w:ind w:left="726" w:hanging="360"/>
      </w:pPr>
      <w:rPr>
        <w:rFonts w:ascii="Calibri" w:eastAsiaTheme="minorHAnsi" w:hAnsi="Calibri" w:cs="Calibri" w:hint="default"/>
      </w:rPr>
    </w:lvl>
    <w:lvl w:ilvl="1" w:tplc="08090003">
      <w:start w:val="1"/>
      <w:numFmt w:val="bullet"/>
      <w:lvlText w:val="o"/>
      <w:lvlJc w:val="left"/>
      <w:pPr>
        <w:ind w:left="1446" w:hanging="360"/>
      </w:pPr>
      <w:rPr>
        <w:rFonts w:ascii="Courier New" w:hAnsi="Courier New" w:cs="Symbol"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Symbol"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Symbol" w:hint="default"/>
      </w:rPr>
    </w:lvl>
    <w:lvl w:ilvl="8" w:tplc="08090005" w:tentative="1">
      <w:start w:val="1"/>
      <w:numFmt w:val="bullet"/>
      <w:lvlText w:val=""/>
      <w:lvlJc w:val="left"/>
      <w:pPr>
        <w:ind w:left="6486" w:hanging="360"/>
      </w:pPr>
      <w:rPr>
        <w:rFonts w:ascii="Wingdings" w:hAnsi="Wingdings" w:hint="default"/>
      </w:rPr>
    </w:lvl>
  </w:abstractNum>
  <w:abstractNum w:abstractNumId="14">
    <w:nsid w:val="14DF5341"/>
    <w:multiLevelType w:val="hybridMultilevel"/>
    <w:tmpl w:val="01FECD82"/>
    <w:lvl w:ilvl="0" w:tplc="ABFA1CCC">
      <w:start w:val="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16480DC8"/>
    <w:multiLevelType w:val="hybridMultilevel"/>
    <w:tmpl w:val="95405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6A917D4"/>
    <w:multiLevelType w:val="hybridMultilevel"/>
    <w:tmpl w:val="9B96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1A50BE"/>
    <w:multiLevelType w:val="multilevel"/>
    <w:tmpl w:val="97948798"/>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99805C3"/>
    <w:multiLevelType w:val="multilevel"/>
    <w:tmpl w:val="5DD65B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1C4A728F"/>
    <w:multiLevelType w:val="hybridMultilevel"/>
    <w:tmpl w:val="475AB784"/>
    <w:lvl w:ilvl="0" w:tplc="D13C635C">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C5349F4"/>
    <w:multiLevelType w:val="hybridMultilevel"/>
    <w:tmpl w:val="C4AE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C911495"/>
    <w:multiLevelType w:val="hybridMultilevel"/>
    <w:tmpl w:val="B8ECBF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B08EC02A">
      <w:start w:val="7"/>
      <w:numFmt w:val="bullet"/>
      <w:lvlText w:val="-"/>
      <w:lvlJc w:val="left"/>
      <w:pPr>
        <w:ind w:left="1800" w:hanging="360"/>
      </w:pPr>
      <w:rPr>
        <w:rFonts w:ascii="Calibri" w:eastAsiaTheme="minorHAns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1D630931"/>
    <w:multiLevelType w:val="hybridMultilevel"/>
    <w:tmpl w:val="BDE698C8"/>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nsid w:val="1DA02E43"/>
    <w:multiLevelType w:val="hybridMultilevel"/>
    <w:tmpl w:val="03D0B0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1ED57C12"/>
    <w:multiLevelType w:val="hybridMultilevel"/>
    <w:tmpl w:val="208AB5A2"/>
    <w:lvl w:ilvl="0" w:tplc="9AF63CA0">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F9A0E8D"/>
    <w:multiLevelType w:val="hybridMultilevel"/>
    <w:tmpl w:val="FDD46B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1961F2E"/>
    <w:multiLevelType w:val="hybridMultilevel"/>
    <w:tmpl w:val="C6D46B24"/>
    <w:lvl w:ilvl="0" w:tplc="49E404E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3040974"/>
    <w:multiLevelType w:val="hybridMultilevel"/>
    <w:tmpl w:val="91607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4C565A9"/>
    <w:multiLevelType w:val="hybridMultilevel"/>
    <w:tmpl w:val="4DDA1A8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9">
    <w:nsid w:val="25DC1D20"/>
    <w:multiLevelType w:val="hybridMultilevel"/>
    <w:tmpl w:val="0CDE0902"/>
    <w:lvl w:ilvl="0" w:tplc="B08EC02A">
      <w:start w:val="7"/>
      <w:numFmt w:val="bullet"/>
      <w:lvlText w:val="-"/>
      <w:lvlJc w:val="left"/>
      <w:pPr>
        <w:ind w:left="369" w:hanging="360"/>
      </w:pPr>
      <w:rPr>
        <w:rFonts w:ascii="Calibri" w:eastAsiaTheme="minorHAnsi" w:hAnsi="Calibri" w:cs="Calibri"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30">
    <w:nsid w:val="261C4CF3"/>
    <w:multiLevelType w:val="hybridMultilevel"/>
    <w:tmpl w:val="A6241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1">
    <w:nsid w:val="26BA5601"/>
    <w:multiLevelType w:val="hybridMultilevel"/>
    <w:tmpl w:val="A5761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6C622F9"/>
    <w:multiLevelType w:val="hybridMultilevel"/>
    <w:tmpl w:val="DE5E7664"/>
    <w:lvl w:ilvl="0" w:tplc="B08EC02A">
      <w:start w:val="7"/>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nsid w:val="2BF04575"/>
    <w:multiLevelType w:val="hybridMultilevel"/>
    <w:tmpl w:val="C0F0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EFB00B8"/>
    <w:multiLevelType w:val="hybridMultilevel"/>
    <w:tmpl w:val="28C0C06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5">
    <w:nsid w:val="2F9347C6"/>
    <w:multiLevelType w:val="hybridMultilevel"/>
    <w:tmpl w:val="74B0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2616AF2"/>
    <w:multiLevelType w:val="hybridMultilevel"/>
    <w:tmpl w:val="A462CF88"/>
    <w:lvl w:ilvl="0" w:tplc="49E404E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9117DD2"/>
    <w:multiLevelType w:val="hybridMultilevel"/>
    <w:tmpl w:val="4AF894D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C1365C8"/>
    <w:multiLevelType w:val="hybridMultilevel"/>
    <w:tmpl w:val="0B86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CEF5B90"/>
    <w:multiLevelType w:val="hybridMultilevel"/>
    <w:tmpl w:val="FB14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D483904"/>
    <w:multiLevelType w:val="hybridMultilevel"/>
    <w:tmpl w:val="3CF2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349108B"/>
    <w:multiLevelType w:val="hybridMultilevel"/>
    <w:tmpl w:val="8D76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39F65DF"/>
    <w:multiLevelType w:val="hybridMultilevel"/>
    <w:tmpl w:val="D47C5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46980407"/>
    <w:multiLevelType w:val="hybridMultilevel"/>
    <w:tmpl w:val="43FC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9B74867"/>
    <w:multiLevelType w:val="hybridMultilevel"/>
    <w:tmpl w:val="D3B0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CB2107A"/>
    <w:multiLevelType w:val="hybridMultilevel"/>
    <w:tmpl w:val="A1664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4F855AC4"/>
    <w:multiLevelType w:val="hybridMultilevel"/>
    <w:tmpl w:val="3AF2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1A14A83"/>
    <w:multiLevelType w:val="hybridMultilevel"/>
    <w:tmpl w:val="8240470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8">
    <w:nsid w:val="535B0521"/>
    <w:multiLevelType w:val="hybridMultilevel"/>
    <w:tmpl w:val="F912EE06"/>
    <w:lvl w:ilvl="0" w:tplc="90BE5C2A">
      <w:numFmt w:val="bullet"/>
      <w:lvlText w:val="-"/>
      <w:lvlJc w:val="left"/>
      <w:pPr>
        <w:ind w:left="2160" w:hanging="360"/>
      </w:pPr>
      <w:rPr>
        <w:rFonts w:ascii="Arial" w:eastAsiaTheme="minorHAnsi" w:hAnsi="Arial" w:cs="Aria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9">
    <w:nsid w:val="55724F0C"/>
    <w:multiLevelType w:val="hybridMultilevel"/>
    <w:tmpl w:val="6A8E5CBC"/>
    <w:lvl w:ilvl="0" w:tplc="B08EC02A">
      <w:start w:val="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9AE29AC"/>
    <w:multiLevelType w:val="multilevel"/>
    <w:tmpl w:val="D5E2D0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nsid w:val="5B564EE5"/>
    <w:multiLevelType w:val="hybridMultilevel"/>
    <w:tmpl w:val="E9D42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C5D2E0B"/>
    <w:multiLevelType w:val="hybridMultilevel"/>
    <w:tmpl w:val="1E54C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E6C1282"/>
    <w:multiLevelType w:val="hybridMultilevel"/>
    <w:tmpl w:val="7E5A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02F4370"/>
    <w:multiLevelType w:val="hybridMultilevel"/>
    <w:tmpl w:val="CD88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065413B"/>
    <w:multiLevelType w:val="hybridMultilevel"/>
    <w:tmpl w:val="756E92FC"/>
    <w:lvl w:ilvl="0" w:tplc="08090017">
      <w:start w:val="1"/>
      <w:numFmt w:val="lowerLetter"/>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56">
    <w:nsid w:val="60D87C37"/>
    <w:multiLevelType w:val="hybridMultilevel"/>
    <w:tmpl w:val="7A50C216"/>
    <w:lvl w:ilvl="0" w:tplc="C1DA49E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56E013F"/>
    <w:multiLevelType w:val="hybridMultilevel"/>
    <w:tmpl w:val="1004D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5FD58A2"/>
    <w:multiLevelType w:val="hybridMultilevel"/>
    <w:tmpl w:val="EE9C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B8A6D7E"/>
    <w:multiLevelType w:val="hybridMultilevel"/>
    <w:tmpl w:val="80E8A932"/>
    <w:lvl w:ilvl="0" w:tplc="08090017">
      <w:start w:val="1"/>
      <w:numFmt w:val="lowerLetter"/>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60">
    <w:nsid w:val="6DCC0179"/>
    <w:multiLevelType w:val="hybridMultilevel"/>
    <w:tmpl w:val="6268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E1A26B7"/>
    <w:multiLevelType w:val="hybridMultilevel"/>
    <w:tmpl w:val="C5FAACE8"/>
    <w:lvl w:ilvl="0" w:tplc="0809000F">
      <w:start w:val="1"/>
      <w:numFmt w:val="decimal"/>
      <w:lvlText w:val="%1."/>
      <w:lvlJc w:val="left"/>
      <w:pPr>
        <w:ind w:left="1091" w:hanging="360"/>
      </w:pPr>
      <w:rPr>
        <w:rFonts w:hint="default"/>
      </w:rPr>
    </w:lvl>
    <w:lvl w:ilvl="1" w:tplc="08090003" w:tentative="1">
      <w:start w:val="1"/>
      <w:numFmt w:val="bullet"/>
      <w:lvlText w:val="o"/>
      <w:lvlJc w:val="left"/>
      <w:pPr>
        <w:ind w:left="2202" w:hanging="360"/>
      </w:pPr>
      <w:rPr>
        <w:rFonts w:ascii="Courier New" w:hAnsi="Courier New" w:cs="Courier New" w:hint="default"/>
      </w:rPr>
    </w:lvl>
    <w:lvl w:ilvl="2" w:tplc="08090005" w:tentative="1">
      <w:start w:val="1"/>
      <w:numFmt w:val="bullet"/>
      <w:lvlText w:val=""/>
      <w:lvlJc w:val="left"/>
      <w:pPr>
        <w:ind w:left="2922" w:hanging="360"/>
      </w:pPr>
      <w:rPr>
        <w:rFonts w:ascii="Wingdings" w:hAnsi="Wingdings" w:hint="default"/>
      </w:rPr>
    </w:lvl>
    <w:lvl w:ilvl="3" w:tplc="08090001" w:tentative="1">
      <w:start w:val="1"/>
      <w:numFmt w:val="bullet"/>
      <w:lvlText w:val=""/>
      <w:lvlJc w:val="left"/>
      <w:pPr>
        <w:ind w:left="3642" w:hanging="360"/>
      </w:pPr>
      <w:rPr>
        <w:rFonts w:ascii="Symbol" w:hAnsi="Symbol" w:hint="default"/>
      </w:rPr>
    </w:lvl>
    <w:lvl w:ilvl="4" w:tplc="08090003" w:tentative="1">
      <w:start w:val="1"/>
      <w:numFmt w:val="bullet"/>
      <w:lvlText w:val="o"/>
      <w:lvlJc w:val="left"/>
      <w:pPr>
        <w:ind w:left="4362" w:hanging="360"/>
      </w:pPr>
      <w:rPr>
        <w:rFonts w:ascii="Courier New" w:hAnsi="Courier New" w:cs="Courier New" w:hint="default"/>
      </w:rPr>
    </w:lvl>
    <w:lvl w:ilvl="5" w:tplc="08090005" w:tentative="1">
      <w:start w:val="1"/>
      <w:numFmt w:val="bullet"/>
      <w:lvlText w:val=""/>
      <w:lvlJc w:val="left"/>
      <w:pPr>
        <w:ind w:left="5082" w:hanging="360"/>
      </w:pPr>
      <w:rPr>
        <w:rFonts w:ascii="Wingdings" w:hAnsi="Wingdings" w:hint="default"/>
      </w:rPr>
    </w:lvl>
    <w:lvl w:ilvl="6" w:tplc="08090001" w:tentative="1">
      <w:start w:val="1"/>
      <w:numFmt w:val="bullet"/>
      <w:lvlText w:val=""/>
      <w:lvlJc w:val="left"/>
      <w:pPr>
        <w:ind w:left="5802" w:hanging="360"/>
      </w:pPr>
      <w:rPr>
        <w:rFonts w:ascii="Symbol" w:hAnsi="Symbol" w:hint="default"/>
      </w:rPr>
    </w:lvl>
    <w:lvl w:ilvl="7" w:tplc="08090003" w:tentative="1">
      <w:start w:val="1"/>
      <w:numFmt w:val="bullet"/>
      <w:lvlText w:val="o"/>
      <w:lvlJc w:val="left"/>
      <w:pPr>
        <w:ind w:left="6522" w:hanging="360"/>
      </w:pPr>
      <w:rPr>
        <w:rFonts w:ascii="Courier New" w:hAnsi="Courier New" w:cs="Courier New" w:hint="default"/>
      </w:rPr>
    </w:lvl>
    <w:lvl w:ilvl="8" w:tplc="08090005" w:tentative="1">
      <w:start w:val="1"/>
      <w:numFmt w:val="bullet"/>
      <w:lvlText w:val=""/>
      <w:lvlJc w:val="left"/>
      <w:pPr>
        <w:ind w:left="7242" w:hanging="360"/>
      </w:pPr>
      <w:rPr>
        <w:rFonts w:ascii="Wingdings" w:hAnsi="Wingdings" w:hint="default"/>
      </w:rPr>
    </w:lvl>
  </w:abstractNum>
  <w:abstractNum w:abstractNumId="62">
    <w:nsid w:val="6E5D36D9"/>
    <w:multiLevelType w:val="multilevel"/>
    <w:tmpl w:val="875A2DAA"/>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63">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0746992"/>
    <w:multiLevelType w:val="hybridMultilevel"/>
    <w:tmpl w:val="B2EE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174512A"/>
    <w:multiLevelType w:val="hybridMultilevel"/>
    <w:tmpl w:val="9496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1854CD3"/>
    <w:multiLevelType w:val="hybridMultilevel"/>
    <w:tmpl w:val="F83A6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1B1548E"/>
    <w:multiLevelType w:val="hybridMultilevel"/>
    <w:tmpl w:val="19C4C0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nsid w:val="740C4E8F"/>
    <w:multiLevelType w:val="multilevel"/>
    <w:tmpl w:val="3AD465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nsid w:val="75115F85"/>
    <w:multiLevelType w:val="hybridMultilevel"/>
    <w:tmpl w:val="60341DBA"/>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754B18E5"/>
    <w:multiLevelType w:val="hybridMultilevel"/>
    <w:tmpl w:val="9972314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5744506"/>
    <w:multiLevelType w:val="hybridMultilevel"/>
    <w:tmpl w:val="9716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6BC67CE"/>
    <w:multiLevelType w:val="hybridMultilevel"/>
    <w:tmpl w:val="1842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7804E82"/>
    <w:multiLevelType w:val="hybridMultilevel"/>
    <w:tmpl w:val="505C7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0BE5C2A">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9C66B8F"/>
    <w:multiLevelType w:val="hybridMultilevel"/>
    <w:tmpl w:val="2F2E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BF00C3C"/>
    <w:multiLevelType w:val="hybridMultilevel"/>
    <w:tmpl w:val="07DE1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3"/>
  </w:num>
  <w:num w:numId="2">
    <w:abstractNumId w:val="21"/>
  </w:num>
  <w:num w:numId="3">
    <w:abstractNumId w:val="48"/>
  </w:num>
  <w:num w:numId="4">
    <w:abstractNumId w:val="54"/>
  </w:num>
  <w:num w:numId="5">
    <w:abstractNumId w:val="41"/>
  </w:num>
  <w:num w:numId="6">
    <w:abstractNumId w:val="36"/>
  </w:num>
  <w:num w:numId="7">
    <w:abstractNumId w:val="68"/>
  </w:num>
  <w:num w:numId="8">
    <w:abstractNumId w:val="62"/>
  </w:num>
  <w:num w:numId="9">
    <w:abstractNumId w:val="25"/>
  </w:num>
  <w:num w:numId="10">
    <w:abstractNumId w:val="30"/>
  </w:num>
  <w:num w:numId="11">
    <w:abstractNumId w:val="37"/>
  </w:num>
  <w:num w:numId="12">
    <w:abstractNumId w:val="26"/>
  </w:num>
  <w:num w:numId="13">
    <w:abstractNumId w:val="23"/>
  </w:num>
  <w:num w:numId="14">
    <w:abstractNumId w:val="42"/>
  </w:num>
  <w:num w:numId="15">
    <w:abstractNumId w:val="56"/>
  </w:num>
  <w:num w:numId="16">
    <w:abstractNumId w:val="5"/>
  </w:num>
  <w:num w:numId="17">
    <w:abstractNumId w:val="70"/>
  </w:num>
  <w:num w:numId="18">
    <w:abstractNumId w:val="16"/>
  </w:num>
  <w:num w:numId="19">
    <w:abstractNumId w:val="44"/>
  </w:num>
  <w:num w:numId="20">
    <w:abstractNumId w:val="58"/>
  </w:num>
  <w:num w:numId="21">
    <w:abstractNumId w:val="2"/>
  </w:num>
  <w:num w:numId="22">
    <w:abstractNumId w:val="35"/>
  </w:num>
  <w:num w:numId="23">
    <w:abstractNumId w:val="20"/>
  </w:num>
  <w:num w:numId="24">
    <w:abstractNumId w:val="18"/>
  </w:num>
  <w:num w:numId="25">
    <w:abstractNumId w:val="66"/>
  </w:num>
  <w:num w:numId="26">
    <w:abstractNumId w:val="15"/>
  </w:num>
  <w:num w:numId="27">
    <w:abstractNumId w:val="51"/>
  </w:num>
  <w:num w:numId="28">
    <w:abstractNumId w:val="69"/>
  </w:num>
  <w:num w:numId="29">
    <w:abstractNumId w:val="6"/>
  </w:num>
  <w:num w:numId="30">
    <w:abstractNumId w:val="27"/>
  </w:num>
  <w:num w:numId="31">
    <w:abstractNumId w:val="43"/>
  </w:num>
  <w:num w:numId="32">
    <w:abstractNumId w:val="64"/>
  </w:num>
  <w:num w:numId="33">
    <w:abstractNumId w:val="39"/>
  </w:num>
  <w:num w:numId="34">
    <w:abstractNumId w:val="45"/>
  </w:num>
  <w:num w:numId="35">
    <w:abstractNumId w:val="67"/>
  </w:num>
  <w:num w:numId="36">
    <w:abstractNumId w:val="32"/>
  </w:num>
  <w:num w:numId="37">
    <w:abstractNumId w:val="50"/>
  </w:num>
  <w:num w:numId="38">
    <w:abstractNumId w:val="72"/>
  </w:num>
  <w:num w:numId="39">
    <w:abstractNumId w:val="1"/>
  </w:num>
  <w:num w:numId="40">
    <w:abstractNumId w:val="33"/>
  </w:num>
  <w:num w:numId="41">
    <w:abstractNumId w:val="22"/>
  </w:num>
  <w:num w:numId="42">
    <w:abstractNumId w:val="28"/>
  </w:num>
  <w:num w:numId="43">
    <w:abstractNumId w:val="34"/>
  </w:num>
  <w:num w:numId="44">
    <w:abstractNumId w:val="10"/>
  </w:num>
  <w:num w:numId="45">
    <w:abstractNumId w:val="47"/>
  </w:num>
  <w:num w:numId="46">
    <w:abstractNumId w:val="4"/>
  </w:num>
  <w:num w:numId="47">
    <w:abstractNumId w:val="55"/>
  </w:num>
  <w:num w:numId="48">
    <w:abstractNumId w:val="59"/>
  </w:num>
  <w:num w:numId="49">
    <w:abstractNumId w:val="0"/>
  </w:num>
  <w:num w:numId="50">
    <w:abstractNumId w:val="61"/>
  </w:num>
  <w:num w:numId="51">
    <w:abstractNumId w:val="52"/>
  </w:num>
  <w:num w:numId="52">
    <w:abstractNumId w:val="31"/>
  </w:num>
  <w:num w:numId="53">
    <w:abstractNumId w:val="65"/>
  </w:num>
  <w:num w:numId="54">
    <w:abstractNumId w:val="49"/>
  </w:num>
  <w:num w:numId="55">
    <w:abstractNumId w:val="75"/>
  </w:num>
  <w:num w:numId="56">
    <w:abstractNumId w:val="40"/>
  </w:num>
  <w:num w:numId="57">
    <w:abstractNumId w:val="8"/>
  </w:num>
  <w:num w:numId="58">
    <w:abstractNumId w:val="7"/>
  </w:num>
  <w:num w:numId="59">
    <w:abstractNumId w:val="57"/>
  </w:num>
  <w:num w:numId="60">
    <w:abstractNumId w:val="11"/>
  </w:num>
  <w:num w:numId="61">
    <w:abstractNumId w:val="60"/>
  </w:num>
  <w:num w:numId="62">
    <w:abstractNumId w:val="53"/>
  </w:num>
  <w:num w:numId="63">
    <w:abstractNumId w:val="29"/>
  </w:num>
  <w:num w:numId="64">
    <w:abstractNumId w:val="74"/>
  </w:num>
  <w:num w:numId="65">
    <w:abstractNumId w:val="13"/>
  </w:num>
  <w:num w:numId="66">
    <w:abstractNumId w:val="38"/>
  </w:num>
  <w:num w:numId="67">
    <w:abstractNumId w:val="71"/>
  </w:num>
  <w:num w:numId="68">
    <w:abstractNumId w:val="12"/>
  </w:num>
  <w:num w:numId="69">
    <w:abstractNumId w:val="3"/>
  </w:num>
  <w:num w:numId="70">
    <w:abstractNumId w:val="14"/>
  </w:num>
  <w:num w:numId="71">
    <w:abstractNumId w:val="17"/>
  </w:num>
  <w:num w:numId="72">
    <w:abstractNumId w:val="73"/>
  </w:num>
  <w:num w:numId="73">
    <w:abstractNumId w:val="46"/>
  </w:num>
  <w:num w:numId="74">
    <w:abstractNumId w:val="19"/>
  </w:num>
  <w:num w:numId="75">
    <w:abstractNumId w:val="24"/>
  </w:num>
  <w:num w:numId="76">
    <w:abstractNumId w:val="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015E4"/>
    <w:rsid w:val="0000320D"/>
    <w:rsid w:val="00006DCE"/>
    <w:rsid w:val="000075F4"/>
    <w:rsid w:val="00010C20"/>
    <w:rsid w:val="000120C9"/>
    <w:rsid w:val="0001328F"/>
    <w:rsid w:val="00013CAD"/>
    <w:rsid w:val="00014322"/>
    <w:rsid w:val="000156E1"/>
    <w:rsid w:val="00017C55"/>
    <w:rsid w:val="0002174B"/>
    <w:rsid w:val="00023944"/>
    <w:rsid w:val="00023F6B"/>
    <w:rsid w:val="00026270"/>
    <w:rsid w:val="00031797"/>
    <w:rsid w:val="000325BD"/>
    <w:rsid w:val="000343D7"/>
    <w:rsid w:val="0003509F"/>
    <w:rsid w:val="00035DEA"/>
    <w:rsid w:val="000407C3"/>
    <w:rsid w:val="000419B4"/>
    <w:rsid w:val="000422F6"/>
    <w:rsid w:val="00051F96"/>
    <w:rsid w:val="00055930"/>
    <w:rsid w:val="00055F46"/>
    <w:rsid w:val="00057205"/>
    <w:rsid w:val="00057A68"/>
    <w:rsid w:val="00061D5C"/>
    <w:rsid w:val="0006294F"/>
    <w:rsid w:val="000639BA"/>
    <w:rsid w:val="000675BE"/>
    <w:rsid w:val="00071E38"/>
    <w:rsid w:val="000748B2"/>
    <w:rsid w:val="0007798B"/>
    <w:rsid w:val="0008040F"/>
    <w:rsid w:val="00082FE3"/>
    <w:rsid w:val="00084753"/>
    <w:rsid w:val="00085567"/>
    <w:rsid w:val="000931CC"/>
    <w:rsid w:val="000974BD"/>
    <w:rsid w:val="000A2F7A"/>
    <w:rsid w:val="000A5C7F"/>
    <w:rsid w:val="000A74CD"/>
    <w:rsid w:val="000B135C"/>
    <w:rsid w:val="000B6F0A"/>
    <w:rsid w:val="000B7C1A"/>
    <w:rsid w:val="000C0CE6"/>
    <w:rsid w:val="000C5C7A"/>
    <w:rsid w:val="000C6396"/>
    <w:rsid w:val="000C76F0"/>
    <w:rsid w:val="000D27ED"/>
    <w:rsid w:val="000D296A"/>
    <w:rsid w:val="000D32E8"/>
    <w:rsid w:val="000D4248"/>
    <w:rsid w:val="000E1D84"/>
    <w:rsid w:val="000E4A25"/>
    <w:rsid w:val="000F17B0"/>
    <w:rsid w:val="000F1F91"/>
    <w:rsid w:val="000F5987"/>
    <w:rsid w:val="001013D1"/>
    <w:rsid w:val="001028BB"/>
    <w:rsid w:val="00102A99"/>
    <w:rsid w:val="00105FDA"/>
    <w:rsid w:val="001077B3"/>
    <w:rsid w:val="00107935"/>
    <w:rsid w:val="0011141E"/>
    <w:rsid w:val="00112B45"/>
    <w:rsid w:val="00116F86"/>
    <w:rsid w:val="00124268"/>
    <w:rsid w:val="00124656"/>
    <w:rsid w:val="0013058B"/>
    <w:rsid w:val="00133AD7"/>
    <w:rsid w:val="00137788"/>
    <w:rsid w:val="00137E8D"/>
    <w:rsid w:val="00141472"/>
    <w:rsid w:val="00141B87"/>
    <w:rsid w:val="001476F5"/>
    <w:rsid w:val="00152E6A"/>
    <w:rsid w:val="00152FB6"/>
    <w:rsid w:val="00157F75"/>
    <w:rsid w:val="00162616"/>
    <w:rsid w:val="00164E1B"/>
    <w:rsid w:val="0017154E"/>
    <w:rsid w:val="00174767"/>
    <w:rsid w:val="001751C9"/>
    <w:rsid w:val="0017574F"/>
    <w:rsid w:val="00175FCE"/>
    <w:rsid w:val="00176EE0"/>
    <w:rsid w:val="00177D82"/>
    <w:rsid w:val="00177E59"/>
    <w:rsid w:val="00181D9B"/>
    <w:rsid w:val="00185D5A"/>
    <w:rsid w:val="00187E48"/>
    <w:rsid w:val="001927F1"/>
    <w:rsid w:val="0019350E"/>
    <w:rsid w:val="0019367F"/>
    <w:rsid w:val="00197A66"/>
    <w:rsid w:val="00197AE6"/>
    <w:rsid w:val="001A19E1"/>
    <w:rsid w:val="001A3439"/>
    <w:rsid w:val="001A6235"/>
    <w:rsid w:val="001A7CC0"/>
    <w:rsid w:val="001B2071"/>
    <w:rsid w:val="001B610D"/>
    <w:rsid w:val="001B62FE"/>
    <w:rsid w:val="001B799D"/>
    <w:rsid w:val="001C1B0F"/>
    <w:rsid w:val="001C2A5F"/>
    <w:rsid w:val="001D1CE4"/>
    <w:rsid w:val="001D295F"/>
    <w:rsid w:val="001D3373"/>
    <w:rsid w:val="001D359A"/>
    <w:rsid w:val="001D4AAE"/>
    <w:rsid w:val="001D5365"/>
    <w:rsid w:val="001D6253"/>
    <w:rsid w:val="001D6315"/>
    <w:rsid w:val="001E01BC"/>
    <w:rsid w:val="001E433F"/>
    <w:rsid w:val="001E477C"/>
    <w:rsid w:val="001E58E5"/>
    <w:rsid w:val="001F2847"/>
    <w:rsid w:val="001F5B05"/>
    <w:rsid w:val="001F7238"/>
    <w:rsid w:val="0020094E"/>
    <w:rsid w:val="00204C5B"/>
    <w:rsid w:val="00211279"/>
    <w:rsid w:val="00211933"/>
    <w:rsid w:val="00211C1A"/>
    <w:rsid w:val="002144A2"/>
    <w:rsid w:val="00217917"/>
    <w:rsid w:val="00220B03"/>
    <w:rsid w:val="00222A7E"/>
    <w:rsid w:val="002275B0"/>
    <w:rsid w:val="0023152C"/>
    <w:rsid w:val="00232CA2"/>
    <w:rsid w:val="0023418A"/>
    <w:rsid w:val="00234DED"/>
    <w:rsid w:val="00236125"/>
    <w:rsid w:val="00236FD3"/>
    <w:rsid w:val="00237034"/>
    <w:rsid w:val="00242D51"/>
    <w:rsid w:val="00245937"/>
    <w:rsid w:val="0025276E"/>
    <w:rsid w:val="002530C1"/>
    <w:rsid w:val="00254815"/>
    <w:rsid w:val="0025692A"/>
    <w:rsid w:val="0025743D"/>
    <w:rsid w:val="002607BB"/>
    <w:rsid w:val="002666DB"/>
    <w:rsid w:val="00267312"/>
    <w:rsid w:val="00270E50"/>
    <w:rsid w:val="002723F0"/>
    <w:rsid w:val="00273C80"/>
    <w:rsid w:val="00273DCF"/>
    <w:rsid w:val="00276B46"/>
    <w:rsid w:val="002772D1"/>
    <w:rsid w:val="00282361"/>
    <w:rsid w:val="0028249B"/>
    <w:rsid w:val="00285E7D"/>
    <w:rsid w:val="002860AA"/>
    <w:rsid w:val="00286500"/>
    <w:rsid w:val="002871EC"/>
    <w:rsid w:val="002873EA"/>
    <w:rsid w:val="00287615"/>
    <w:rsid w:val="00287CE3"/>
    <w:rsid w:val="00290060"/>
    <w:rsid w:val="00291856"/>
    <w:rsid w:val="002938D0"/>
    <w:rsid w:val="00293B7B"/>
    <w:rsid w:val="00297B2D"/>
    <w:rsid w:val="002A0485"/>
    <w:rsid w:val="002A0C8D"/>
    <w:rsid w:val="002A0DA8"/>
    <w:rsid w:val="002A2972"/>
    <w:rsid w:val="002A4B73"/>
    <w:rsid w:val="002A4C4F"/>
    <w:rsid w:val="002A6942"/>
    <w:rsid w:val="002A6FD1"/>
    <w:rsid w:val="002A7851"/>
    <w:rsid w:val="002C2D57"/>
    <w:rsid w:val="002C542F"/>
    <w:rsid w:val="002C710B"/>
    <w:rsid w:val="002C799E"/>
    <w:rsid w:val="002D0D0A"/>
    <w:rsid w:val="002D1C69"/>
    <w:rsid w:val="002D1D49"/>
    <w:rsid w:val="002D3305"/>
    <w:rsid w:val="002D34E7"/>
    <w:rsid w:val="002D479C"/>
    <w:rsid w:val="002D56BA"/>
    <w:rsid w:val="002D7BC3"/>
    <w:rsid w:val="002E02C0"/>
    <w:rsid w:val="002E21A9"/>
    <w:rsid w:val="002E2418"/>
    <w:rsid w:val="002E4212"/>
    <w:rsid w:val="002E4771"/>
    <w:rsid w:val="002E5FD2"/>
    <w:rsid w:val="002F11B3"/>
    <w:rsid w:val="002F168C"/>
    <w:rsid w:val="002F2335"/>
    <w:rsid w:val="002F37ED"/>
    <w:rsid w:val="002F7285"/>
    <w:rsid w:val="002F7460"/>
    <w:rsid w:val="00301CBA"/>
    <w:rsid w:val="00302595"/>
    <w:rsid w:val="00302F73"/>
    <w:rsid w:val="00305EFC"/>
    <w:rsid w:val="00310405"/>
    <w:rsid w:val="00311A7D"/>
    <w:rsid w:val="00312711"/>
    <w:rsid w:val="00314362"/>
    <w:rsid w:val="003144E3"/>
    <w:rsid w:val="00314BBB"/>
    <w:rsid w:val="00315A39"/>
    <w:rsid w:val="003225D4"/>
    <w:rsid w:val="003236B0"/>
    <w:rsid w:val="00324B61"/>
    <w:rsid w:val="00325D8A"/>
    <w:rsid w:val="0033126A"/>
    <w:rsid w:val="00332C85"/>
    <w:rsid w:val="00332F94"/>
    <w:rsid w:val="00333364"/>
    <w:rsid w:val="0033488B"/>
    <w:rsid w:val="003348C2"/>
    <w:rsid w:val="003357B2"/>
    <w:rsid w:val="00335DAC"/>
    <w:rsid w:val="00336F8F"/>
    <w:rsid w:val="00340F9B"/>
    <w:rsid w:val="003432E4"/>
    <w:rsid w:val="003434B8"/>
    <w:rsid w:val="00344881"/>
    <w:rsid w:val="00344C9D"/>
    <w:rsid w:val="00346A04"/>
    <w:rsid w:val="00346CD0"/>
    <w:rsid w:val="0035446E"/>
    <w:rsid w:val="00355842"/>
    <w:rsid w:val="00356FCB"/>
    <w:rsid w:val="00357B92"/>
    <w:rsid w:val="003629C4"/>
    <w:rsid w:val="00363FF3"/>
    <w:rsid w:val="003661CA"/>
    <w:rsid w:val="00374DE8"/>
    <w:rsid w:val="00376214"/>
    <w:rsid w:val="00376783"/>
    <w:rsid w:val="00385044"/>
    <w:rsid w:val="00385ACE"/>
    <w:rsid w:val="003872D0"/>
    <w:rsid w:val="003905C1"/>
    <w:rsid w:val="0039136B"/>
    <w:rsid w:val="003917D3"/>
    <w:rsid w:val="00397E3E"/>
    <w:rsid w:val="003A0E06"/>
    <w:rsid w:val="003A13D3"/>
    <w:rsid w:val="003A186A"/>
    <w:rsid w:val="003A18AB"/>
    <w:rsid w:val="003A3919"/>
    <w:rsid w:val="003A3A85"/>
    <w:rsid w:val="003A5753"/>
    <w:rsid w:val="003A74ED"/>
    <w:rsid w:val="003B1330"/>
    <w:rsid w:val="003B2D5D"/>
    <w:rsid w:val="003B3952"/>
    <w:rsid w:val="003B4FFF"/>
    <w:rsid w:val="003B511C"/>
    <w:rsid w:val="003C06BA"/>
    <w:rsid w:val="003C20EC"/>
    <w:rsid w:val="003C2EDC"/>
    <w:rsid w:val="003C4103"/>
    <w:rsid w:val="003C7843"/>
    <w:rsid w:val="003D48CD"/>
    <w:rsid w:val="003E1C1F"/>
    <w:rsid w:val="003E3D3B"/>
    <w:rsid w:val="003E4BDD"/>
    <w:rsid w:val="003F0EB2"/>
    <w:rsid w:val="003F13E6"/>
    <w:rsid w:val="003F4F0A"/>
    <w:rsid w:val="003F6AEF"/>
    <w:rsid w:val="004010EF"/>
    <w:rsid w:val="0040156E"/>
    <w:rsid w:val="00403873"/>
    <w:rsid w:val="004043CA"/>
    <w:rsid w:val="0040465F"/>
    <w:rsid w:val="00410582"/>
    <w:rsid w:val="00411481"/>
    <w:rsid w:val="004137D3"/>
    <w:rsid w:val="004140FC"/>
    <w:rsid w:val="004277A6"/>
    <w:rsid w:val="0043110F"/>
    <w:rsid w:val="004314FE"/>
    <w:rsid w:val="004409E2"/>
    <w:rsid w:val="00442F32"/>
    <w:rsid w:val="00446170"/>
    <w:rsid w:val="00447C11"/>
    <w:rsid w:val="00451C2D"/>
    <w:rsid w:val="00452445"/>
    <w:rsid w:val="004572A7"/>
    <w:rsid w:val="00460D6B"/>
    <w:rsid w:val="00461C62"/>
    <w:rsid w:val="00462720"/>
    <w:rsid w:val="00466603"/>
    <w:rsid w:val="004704A2"/>
    <w:rsid w:val="00473F60"/>
    <w:rsid w:val="0047411E"/>
    <w:rsid w:val="00481A47"/>
    <w:rsid w:val="004824F1"/>
    <w:rsid w:val="00483BA3"/>
    <w:rsid w:val="004863FB"/>
    <w:rsid w:val="00492256"/>
    <w:rsid w:val="00494925"/>
    <w:rsid w:val="00495B2E"/>
    <w:rsid w:val="004A18A5"/>
    <w:rsid w:val="004B0A7F"/>
    <w:rsid w:val="004B188D"/>
    <w:rsid w:val="004B496C"/>
    <w:rsid w:val="004B63AA"/>
    <w:rsid w:val="004B6F59"/>
    <w:rsid w:val="004B7230"/>
    <w:rsid w:val="004C088B"/>
    <w:rsid w:val="004D3178"/>
    <w:rsid w:val="004D3FCC"/>
    <w:rsid w:val="004D465F"/>
    <w:rsid w:val="004D57ED"/>
    <w:rsid w:val="004D6C81"/>
    <w:rsid w:val="004D7ABD"/>
    <w:rsid w:val="004E1780"/>
    <w:rsid w:val="004E2398"/>
    <w:rsid w:val="004E2783"/>
    <w:rsid w:val="004E463D"/>
    <w:rsid w:val="004F0F7A"/>
    <w:rsid w:val="004F3E55"/>
    <w:rsid w:val="004F4CDE"/>
    <w:rsid w:val="004F4F70"/>
    <w:rsid w:val="005013FE"/>
    <w:rsid w:val="00501F95"/>
    <w:rsid w:val="005045B3"/>
    <w:rsid w:val="00507390"/>
    <w:rsid w:val="00513CBB"/>
    <w:rsid w:val="005141D4"/>
    <w:rsid w:val="005142BA"/>
    <w:rsid w:val="00515472"/>
    <w:rsid w:val="0051790F"/>
    <w:rsid w:val="00524900"/>
    <w:rsid w:val="00526AA8"/>
    <w:rsid w:val="00527DE2"/>
    <w:rsid w:val="00533328"/>
    <w:rsid w:val="00533456"/>
    <w:rsid w:val="00542CE3"/>
    <w:rsid w:val="00545551"/>
    <w:rsid w:val="00545929"/>
    <w:rsid w:val="005502ED"/>
    <w:rsid w:val="0055045C"/>
    <w:rsid w:val="00551D1D"/>
    <w:rsid w:val="005525B4"/>
    <w:rsid w:val="00553257"/>
    <w:rsid w:val="00555BB5"/>
    <w:rsid w:val="00557F69"/>
    <w:rsid w:val="005629D1"/>
    <w:rsid w:val="00562D9B"/>
    <w:rsid w:val="00563383"/>
    <w:rsid w:val="00563862"/>
    <w:rsid w:val="00565D2E"/>
    <w:rsid w:val="0056623F"/>
    <w:rsid w:val="0056691E"/>
    <w:rsid w:val="00566DAA"/>
    <w:rsid w:val="005676D0"/>
    <w:rsid w:val="005703DF"/>
    <w:rsid w:val="00575015"/>
    <w:rsid w:val="00576048"/>
    <w:rsid w:val="00577AC7"/>
    <w:rsid w:val="0058419C"/>
    <w:rsid w:val="005868C3"/>
    <w:rsid w:val="00587D99"/>
    <w:rsid w:val="00590594"/>
    <w:rsid w:val="00591A95"/>
    <w:rsid w:val="00591C8B"/>
    <w:rsid w:val="00591F0F"/>
    <w:rsid w:val="00593DA6"/>
    <w:rsid w:val="0059514C"/>
    <w:rsid w:val="005970DE"/>
    <w:rsid w:val="005A2DFF"/>
    <w:rsid w:val="005A3F05"/>
    <w:rsid w:val="005A4142"/>
    <w:rsid w:val="005A6CA8"/>
    <w:rsid w:val="005A7486"/>
    <w:rsid w:val="005B40B1"/>
    <w:rsid w:val="005B4EC4"/>
    <w:rsid w:val="005B566B"/>
    <w:rsid w:val="005B58F4"/>
    <w:rsid w:val="005C09B2"/>
    <w:rsid w:val="005C4044"/>
    <w:rsid w:val="005C4297"/>
    <w:rsid w:val="005C442E"/>
    <w:rsid w:val="005D06D1"/>
    <w:rsid w:val="005D2131"/>
    <w:rsid w:val="005D2FC9"/>
    <w:rsid w:val="005D6001"/>
    <w:rsid w:val="005D688C"/>
    <w:rsid w:val="005D6B38"/>
    <w:rsid w:val="005E0156"/>
    <w:rsid w:val="005E1C2F"/>
    <w:rsid w:val="005E65DC"/>
    <w:rsid w:val="005E66E6"/>
    <w:rsid w:val="005E6E35"/>
    <w:rsid w:val="005E7A17"/>
    <w:rsid w:val="005F27A1"/>
    <w:rsid w:val="005F42E0"/>
    <w:rsid w:val="005F69D6"/>
    <w:rsid w:val="005F6C60"/>
    <w:rsid w:val="005F718F"/>
    <w:rsid w:val="00601D81"/>
    <w:rsid w:val="00607246"/>
    <w:rsid w:val="006130E5"/>
    <w:rsid w:val="0061376B"/>
    <w:rsid w:val="00613D4D"/>
    <w:rsid w:val="006156D5"/>
    <w:rsid w:val="00616323"/>
    <w:rsid w:val="006168C2"/>
    <w:rsid w:val="00616AB3"/>
    <w:rsid w:val="00617D44"/>
    <w:rsid w:val="00617F03"/>
    <w:rsid w:val="00620336"/>
    <w:rsid w:val="00633E06"/>
    <w:rsid w:val="00635FD7"/>
    <w:rsid w:val="00640555"/>
    <w:rsid w:val="0064144B"/>
    <w:rsid w:val="006445E0"/>
    <w:rsid w:val="006448CD"/>
    <w:rsid w:val="006449E3"/>
    <w:rsid w:val="00645ED1"/>
    <w:rsid w:val="00652567"/>
    <w:rsid w:val="006532A1"/>
    <w:rsid w:val="00655540"/>
    <w:rsid w:val="00655C58"/>
    <w:rsid w:val="00656382"/>
    <w:rsid w:val="0065789B"/>
    <w:rsid w:val="00661779"/>
    <w:rsid w:val="00662358"/>
    <w:rsid w:val="00662ED9"/>
    <w:rsid w:val="006675A9"/>
    <w:rsid w:val="00667E6C"/>
    <w:rsid w:val="00670231"/>
    <w:rsid w:val="00671749"/>
    <w:rsid w:val="00671AFB"/>
    <w:rsid w:val="00672836"/>
    <w:rsid w:val="006730DB"/>
    <w:rsid w:val="0067373A"/>
    <w:rsid w:val="006755D4"/>
    <w:rsid w:val="0067728C"/>
    <w:rsid w:val="00680E4C"/>
    <w:rsid w:val="0068392D"/>
    <w:rsid w:val="00684D78"/>
    <w:rsid w:val="0068516B"/>
    <w:rsid w:val="00685DE9"/>
    <w:rsid w:val="0068644A"/>
    <w:rsid w:val="00686737"/>
    <w:rsid w:val="00687BC0"/>
    <w:rsid w:val="0069518C"/>
    <w:rsid w:val="00695D70"/>
    <w:rsid w:val="006968CB"/>
    <w:rsid w:val="006A0052"/>
    <w:rsid w:val="006A0B73"/>
    <w:rsid w:val="006A613D"/>
    <w:rsid w:val="006B059A"/>
    <w:rsid w:val="006B2758"/>
    <w:rsid w:val="006B30A1"/>
    <w:rsid w:val="006B430B"/>
    <w:rsid w:val="006B613F"/>
    <w:rsid w:val="006C1436"/>
    <w:rsid w:val="006C4A37"/>
    <w:rsid w:val="006C5902"/>
    <w:rsid w:val="006C5F90"/>
    <w:rsid w:val="006D2CEA"/>
    <w:rsid w:val="006D4362"/>
    <w:rsid w:val="006D532C"/>
    <w:rsid w:val="006E054B"/>
    <w:rsid w:val="006E463C"/>
    <w:rsid w:val="006E49ED"/>
    <w:rsid w:val="006E4FE5"/>
    <w:rsid w:val="006E547C"/>
    <w:rsid w:val="006F0007"/>
    <w:rsid w:val="006F24E0"/>
    <w:rsid w:val="006F535D"/>
    <w:rsid w:val="006F595D"/>
    <w:rsid w:val="006F5B51"/>
    <w:rsid w:val="006F6EE6"/>
    <w:rsid w:val="006F7C64"/>
    <w:rsid w:val="007026AA"/>
    <w:rsid w:val="00703732"/>
    <w:rsid w:val="00705645"/>
    <w:rsid w:val="00705D40"/>
    <w:rsid w:val="00707453"/>
    <w:rsid w:val="007102BB"/>
    <w:rsid w:val="0071074D"/>
    <w:rsid w:val="0071232D"/>
    <w:rsid w:val="00720C05"/>
    <w:rsid w:val="0072371B"/>
    <w:rsid w:val="00724E03"/>
    <w:rsid w:val="00731AE0"/>
    <w:rsid w:val="00734FDB"/>
    <w:rsid w:val="007353C2"/>
    <w:rsid w:val="007405CE"/>
    <w:rsid w:val="00740B2C"/>
    <w:rsid w:val="00742757"/>
    <w:rsid w:val="00745CCB"/>
    <w:rsid w:val="007477ED"/>
    <w:rsid w:val="00750B4A"/>
    <w:rsid w:val="00753758"/>
    <w:rsid w:val="00756050"/>
    <w:rsid w:val="00756395"/>
    <w:rsid w:val="0075694C"/>
    <w:rsid w:val="007673B0"/>
    <w:rsid w:val="00767B29"/>
    <w:rsid w:val="00770B1B"/>
    <w:rsid w:val="0077116C"/>
    <w:rsid w:val="00773FFA"/>
    <w:rsid w:val="00775F6C"/>
    <w:rsid w:val="00777B17"/>
    <w:rsid w:val="0078196B"/>
    <w:rsid w:val="0078519C"/>
    <w:rsid w:val="00785EED"/>
    <w:rsid w:val="00791BE1"/>
    <w:rsid w:val="00791F1E"/>
    <w:rsid w:val="007950C5"/>
    <w:rsid w:val="00795348"/>
    <w:rsid w:val="00795C06"/>
    <w:rsid w:val="007B3224"/>
    <w:rsid w:val="007B536F"/>
    <w:rsid w:val="007B5849"/>
    <w:rsid w:val="007B7363"/>
    <w:rsid w:val="007C331C"/>
    <w:rsid w:val="007C4B5C"/>
    <w:rsid w:val="007C6196"/>
    <w:rsid w:val="007C6989"/>
    <w:rsid w:val="007C6ACB"/>
    <w:rsid w:val="007C75A5"/>
    <w:rsid w:val="007D0846"/>
    <w:rsid w:val="007D1870"/>
    <w:rsid w:val="007D7B71"/>
    <w:rsid w:val="007E08F7"/>
    <w:rsid w:val="007E20F3"/>
    <w:rsid w:val="007E4FB7"/>
    <w:rsid w:val="007E5D02"/>
    <w:rsid w:val="007E6143"/>
    <w:rsid w:val="007E6215"/>
    <w:rsid w:val="007E7AAA"/>
    <w:rsid w:val="007F234F"/>
    <w:rsid w:val="007F2B08"/>
    <w:rsid w:val="007F3E64"/>
    <w:rsid w:val="007F417E"/>
    <w:rsid w:val="00801D6F"/>
    <w:rsid w:val="00803EBA"/>
    <w:rsid w:val="008104AF"/>
    <w:rsid w:val="00810DE0"/>
    <w:rsid w:val="00814750"/>
    <w:rsid w:val="008163EB"/>
    <w:rsid w:val="00821E02"/>
    <w:rsid w:val="00831E98"/>
    <w:rsid w:val="008348CA"/>
    <w:rsid w:val="008357CB"/>
    <w:rsid w:val="008371EB"/>
    <w:rsid w:val="008413C8"/>
    <w:rsid w:val="008510D1"/>
    <w:rsid w:val="0085210D"/>
    <w:rsid w:val="00852FB8"/>
    <w:rsid w:val="00853196"/>
    <w:rsid w:val="008534A3"/>
    <w:rsid w:val="00853B39"/>
    <w:rsid w:val="0085461B"/>
    <w:rsid w:val="00855F9D"/>
    <w:rsid w:val="008617BE"/>
    <w:rsid w:val="00865044"/>
    <w:rsid w:val="0086506C"/>
    <w:rsid w:val="008656A8"/>
    <w:rsid w:val="00871323"/>
    <w:rsid w:val="00872C9D"/>
    <w:rsid w:val="00873C68"/>
    <w:rsid w:val="00873F28"/>
    <w:rsid w:val="00875DF2"/>
    <w:rsid w:val="008805FE"/>
    <w:rsid w:val="008811B2"/>
    <w:rsid w:val="00884935"/>
    <w:rsid w:val="00887D79"/>
    <w:rsid w:val="008912D2"/>
    <w:rsid w:val="00891B82"/>
    <w:rsid w:val="0089344D"/>
    <w:rsid w:val="00893FBE"/>
    <w:rsid w:val="00894880"/>
    <w:rsid w:val="008A0516"/>
    <w:rsid w:val="008A26B4"/>
    <w:rsid w:val="008A42F0"/>
    <w:rsid w:val="008A4B40"/>
    <w:rsid w:val="008A6C72"/>
    <w:rsid w:val="008A766D"/>
    <w:rsid w:val="008B71E5"/>
    <w:rsid w:val="008C0480"/>
    <w:rsid w:val="008C06FE"/>
    <w:rsid w:val="008C174F"/>
    <w:rsid w:val="008C39CF"/>
    <w:rsid w:val="008C45B2"/>
    <w:rsid w:val="008D092E"/>
    <w:rsid w:val="008D1D3C"/>
    <w:rsid w:val="008D2599"/>
    <w:rsid w:val="008D3C4A"/>
    <w:rsid w:val="008D5438"/>
    <w:rsid w:val="008D6F89"/>
    <w:rsid w:val="008D70B8"/>
    <w:rsid w:val="008D757C"/>
    <w:rsid w:val="008E4045"/>
    <w:rsid w:val="008E574F"/>
    <w:rsid w:val="008F7D3A"/>
    <w:rsid w:val="0090040F"/>
    <w:rsid w:val="009020F4"/>
    <w:rsid w:val="00903487"/>
    <w:rsid w:val="009067E0"/>
    <w:rsid w:val="009119DD"/>
    <w:rsid w:val="00917821"/>
    <w:rsid w:val="0092232E"/>
    <w:rsid w:val="00925258"/>
    <w:rsid w:val="00934A0E"/>
    <w:rsid w:val="00934A5C"/>
    <w:rsid w:val="00936FFD"/>
    <w:rsid w:val="00942A17"/>
    <w:rsid w:val="009437F2"/>
    <w:rsid w:val="009441EB"/>
    <w:rsid w:val="00947CBB"/>
    <w:rsid w:val="009522F6"/>
    <w:rsid w:val="00952AB3"/>
    <w:rsid w:val="00957E17"/>
    <w:rsid w:val="00960BEC"/>
    <w:rsid w:val="00961D75"/>
    <w:rsid w:val="00962CB4"/>
    <w:rsid w:val="0096300D"/>
    <w:rsid w:val="00963D0F"/>
    <w:rsid w:val="009648D4"/>
    <w:rsid w:val="0096774A"/>
    <w:rsid w:val="00980E0A"/>
    <w:rsid w:val="00981646"/>
    <w:rsid w:val="009823A6"/>
    <w:rsid w:val="00982855"/>
    <w:rsid w:val="00982F86"/>
    <w:rsid w:val="0098525C"/>
    <w:rsid w:val="00987BD7"/>
    <w:rsid w:val="00990557"/>
    <w:rsid w:val="009906C3"/>
    <w:rsid w:val="00994A88"/>
    <w:rsid w:val="00996AB8"/>
    <w:rsid w:val="00996F06"/>
    <w:rsid w:val="00997090"/>
    <w:rsid w:val="00997770"/>
    <w:rsid w:val="009A08DE"/>
    <w:rsid w:val="009A0DA6"/>
    <w:rsid w:val="009A1067"/>
    <w:rsid w:val="009A19FC"/>
    <w:rsid w:val="009A3546"/>
    <w:rsid w:val="009A3F64"/>
    <w:rsid w:val="009A4B6E"/>
    <w:rsid w:val="009A6CB5"/>
    <w:rsid w:val="009B0ADD"/>
    <w:rsid w:val="009B1C02"/>
    <w:rsid w:val="009B2090"/>
    <w:rsid w:val="009B46AB"/>
    <w:rsid w:val="009B4A82"/>
    <w:rsid w:val="009C0069"/>
    <w:rsid w:val="009C1A45"/>
    <w:rsid w:val="009C3A3D"/>
    <w:rsid w:val="009C4C02"/>
    <w:rsid w:val="009C5131"/>
    <w:rsid w:val="009C543B"/>
    <w:rsid w:val="009C5EF8"/>
    <w:rsid w:val="009C7EEA"/>
    <w:rsid w:val="009C7FBD"/>
    <w:rsid w:val="009D0885"/>
    <w:rsid w:val="009D2480"/>
    <w:rsid w:val="009D2EEC"/>
    <w:rsid w:val="009D5416"/>
    <w:rsid w:val="009D5BF4"/>
    <w:rsid w:val="009D7A81"/>
    <w:rsid w:val="009D7B6B"/>
    <w:rsid w:val="009E0BE4"/>
    <w:rsid w:val="009E3032"/>
    <w:rsid w:val="009E592A"/>
    <w:rsid w:val="009E6288"/>
    <w:rsid w:val="009F7130"/>
    <w:rsid w:val="00A00B31"/>
    <w:rsid w:val="00A03439"/>
    <w:rsid w:val="00A03E62"/>
    <w:rsid w:val="00A04306"/>
    <w:rsid w:val="00A04591"/>
    <w:rsid w:val="00A04B81"/>
    <w:rsid w:val="00A2093B"/>
    <w:rsid w:val="00A21F70"/>
    <w:rsid w:val="00A3029B"/>
    <w:rsid w:val="00A34635"/>
    <w:rsid w:val="00A4250E"/>
    <w:rsid w:val="00A433BB"/>
    <w:rsid w:val="00A46868"/>
    <w:rsid w:val="00A5078E"/>
    <w:rsid w:val="00A529D2"/>
    <w:rsid w:val="00A55267"/>
    <w:rsid w:val="00A55DBE"/>
    <w:rsid w:val="00A57456"/>
    <w:rsid w:val="00A61E27"/>
    <w:rsid w:val="00A716D1"/>
    <w:rsid w:val="00A71B20"/>
    <w:rsid w:val="00A71D19"/>
    <w:rsid w:val="00A73DA9"/>
    <w:rsid w:val="00A74A4F"/>
    <w:rsid w:val="00A80926"/>
    <w:rsid w:val="00A84386"/>
    <w:rsid w:val="00A8482B"/>
    <w:rsid w:val="00A87C12"/>
    <w:rsid w:val="00A9142F"/>
    <w:rsid w:val="00A926DD"/>
    <w:rsid w:val="00A92917"/>
    <w:rsid w:val="00A93168"/>
    <w:rsid w:val="00AA19DB"/>
    <w:rsid w:val="00AA6DFC"/>
    <w:rsid w:val="00AB187D"/>
    <w:rsid w:val="00AB4B1A"/>
    <w:rsid w:val="00AB549D"/>
    <w:rsid w:val="00AB6B3C"/>
    <w:rsid w:val="00AB7802"/>
    <w:rsid w:val="00AC02DC"/>
    <w:rsid w:val="00AC1E32"/>
    <w:rsid w:val="00AC49F0"/>
    <w:rsid w:val="00AD18FA"/>
    <w:rsid w:val="00AD32BC"/>
    <w:rsid w:val="00AD6BAA"/>
    <w:rsid w:val="00AE0D75"/>
    <w:rsid w:val="00AE3334"/>
    <w:rsid w:val="00AE6576"/>
    <w:rsid w:val="00AF44E1"/>
    <w:rsid w:val="00AF473A"/>
    <w:rsid w:val="00AF4EFB"/>
    <w:rsid w:val="00AF5961"/>
    <w:rsid w:val="00B00921"/>
    <w:rsid w:val="00B03003"/>
    <w:rsid w:val="00B12178"/>
    <w:rsid w:val="00B12434"/>
    <w:rsid w:val="00B13013"/>
    <w:rsid w:val="00B1377B"/>
    <w:rsid w:val="00B1476F"/>
    <w:rsid w:val="00B1576F"/>
    <w:rsid w:val="00B15779"/>
    <w:rsid w:val="00B17C33"/>
    <w:rsid w:val="00B2051D"/>
    <w:rsid w:val="00B222BA"/>
    <w:rsid w:val="00B23031"/>
    <w:rsid w:val="00B23F74"/>
    <w:rsid w:val="00B244D5"/>
    <w:rsid w:val="00B266A6"/>
    <w:rsid w:val="00B26EB3"/>
    <w:rsid w:val="00B27ECD"/>
    <w:rsid w:val="00B369C5"/>
    <w:rsid w:val="00B37A6E"/>
    <w:rsid w:val="00B4251D"/>
    <w:rsid w:val="00B429DF"/>
    <w:rsid w:val="00B44E3A"/>
    <w:rsid w:val="00B44EC4"/>
    <w:rsid w:val="00B474BB"/>
    <w:rsid w:val="00B51CDD"/>
    <w:rsid w:val="00B55B09"/>
    <w:rsid w:val="00B60729"/>
    <w:rsid w:val="00B60804"/>
    <w:rsid w:val="00B61BE6"/>
    <w:rsid w:val="00B62385"/>
    <w:rsid w:val="00B64635"/>
    <w:rsid w:val="00B659BD"/>
    <w:rsid w:val="00B6624F"/>
    <w:rsid w:val="00B67259"/>
    <w:rsid w:val="00B6733F"/>
    <w:rsid w:val="00B71194"/>
    <w:rsid w:val="00B828A5"/>
    <w:rsid w:val="00B875DD"/>
    <w:rsid w:val="00B87DD9"/>
    <w:rsid w:val="00B91EB6"/>
    <w:rsid w:val="00B92921"/>
    <w:rsid w:val="00B961B8"/>
    <w:rsid w:val="00BA1EF6"/>
    <w:rsid w:val="00BA3615"/>
    <w:rsid w:val="00BA4ECC"/>
    <w:rsid w:val="00BA5DE3"/>
    <w:rsid w:val="00BB2A8D"/>
    <w:rsid w:val="00BC3C77"/>
    <w:rsid w:val="00BD0523"/>
    <w:rsid w:val="00BE11F2"/>
    <w:rsid w:val="00BE15C7"/>
    <w:rsid w:val="00BE580A"/>
    <w:rsid w:val="00BF20AE"/>
    <w:rsid w:val="00BF4DE0"/>
    <w:rsid w:val="00BF6302"/>
    <w:rsid w:val="00C003C4"/>
    <w:rsid w:val="00C01D08"/>
    <w:rsid w:val="00C0290E"/>
    <w:rsid w:val="00C059C4"/>
    <w:rsid w:val="00C15C13"/>
    <w:rsid w:val="00C16200"/>
    <w:rsid w:val="00C236D8"/>
    <w:rsid w:val="00C31C61"/>
    <w:rsid w:val="00C3342E"/>
    <w:rsid w:val="00C36939"/>
    <w:rsid w:val="00C37F1C"/>
    <w:rsid w:val="00C4237D"/>
    <w:rsid w:val="00C42988"/>
    <w:rsid w:val="00C453F5"/>
    <w:rsid w:val="00C46E44"/>
    <w:rsid w:val="00C47836"/>
    <w:rsid w:val="00C47C6C"/>
    <w:rsid w:val="00C503C3"/>
    <w:rsid w:val="00C51EE0"/>
    <w:rsid w:val="00C52C5D"/>
    <w:rsid w:val="00C5560D"/>
    <w:rsid w:val="00C60A3A"/>
    <w:rsid w:val="00C6250B"/>
    <w:rsid w:val="00C6379E"/>
    <w:rsid w:val="00C65496"/>
    <w:rsid w:val="00C66770"/>
    <w:rsid w:val="00C667BA"/>
    <w:rsid w:val="00C7219E"/>
    <w:rsid w:val="00C77A3A"/>
    <w:rsid w:val="00C77C87"/>
    <w:rsid w:val="00C8067B"/>
    <w:rsid w:val="00C81268"/>
    <w:rsid w:val="00C819ED"/>
    <w:rsid w:val="00C85D17"/>
    <w:rsid w:val="00C87E03"/>
    <w:rsid w:val="00C90A4B"/>
    <w:rsid w:val="00C92124"/>
    <w:rsid w:val="00C92CF7"/>
    <w:rsid w:val="00C94F2C"/>
    <w:rsid w:val="00C95330"/>
    <w:rsid w:val="00C953C8"/>
    <w:rsid w:val="00CA7279"/>
    <w:rsid w:val="00CA78CE"/>
    <w:rsid w:val="00CB110F"/>
    <w:rsid w:val="00CC1F05"/>
    <w:rsid w:val="00CC2EEF"/>
    <w:rsid w:val="00CC44C8"/>
    <w:rsid w:val="00CC5B4D"/>
    <w:rsid w:val="00CC7ED8"/>
    <w:rsid w:val="00CD0E3A"/>
    <w:rsid w:val="00CD12A5"/>
    <w:rsid w:val="00CD1556"/>
    <w:rsid w:val="00CD300B"/>
    <w:rsid w:val="00CD3175"/>
    <w:rsid w:val="00CD418E"/>
    <w:rsid w:val="00CD478E"/>
    <w:rsid w:val="00CE0F0C"/>
    <w:rsid w:val="00CE1E26"/>
    <w:rsid w:val="00CE20C8"/>
    <w:rsid w:val="00CE2440"/>
    <w:rsid w:val="00CE2F07"/>
    <w:rsid w:val="00CE3904"/>
    <w:rsid w:val="00CE4F84"/>
    <w:rsid w:val="00CF03F8"/>
    <w:rsid w:val="00CF1BDC"/>
    <w:rsid w:val="00CF2322"/>
    <w:rsid w:val="00CF5433"/>
    <w:rsid w:val="00CF647A"/>
    <w:rsid w:val="00D00063"/>
    <w:rsid w:val="00D003B9"/>
    <w:rsid w:val="00D039E9"/>
    <w:rsid w:val="00D04A3A"/>
    <w:rsid w:val="00D04ACB"/>
    <w:rsid w:val="00D04F41"/>
    <w:rsid w:val="00D131ED"/>
    <w:rsid w:val="00D13E4D"/>
    <w:rsid w:val="00D154C8"/>
    <w:rsid w:val="00D22379"/>
    <w:rsid w:val="00D22813"/>
    <w:rsid w:val="00D22A42"/>
    <w:rsid w:val="00D27259"/>
    <w:rsid w:val="00D306F0"/>
    <w:rsid w:val="00D333DF"/>
    <w:rsid w:val="00D35C38"/>
    <w:rsid w:val="00D36750"/>
    <w:rsid w:val="00D37087"/>
    <w:rsid w:val="00D46124"/>
    <w:rsid w:val="00D47723"/>
    <w:rsid w:val="00D50654"/>
    <w:rsid w:val="00D53624"/>
    <w:rsid w:val="00D549AD"/>
    <w:rsid w:val="00D60BFA"/>
    <w:rsid w:val="00D618F2"/>
    <w:rsid w:val="00D64EAD"/>
    <w:rsid w:val="00D670F2"/>
    <w:rsid w:val="00D71F9C"/>
    <w:rsid w:val="00D72E99"/>
    <w:rsid w:val="00D74A10"/>
    <w:rsid w:val="00D76BA1"/>
    <w:rsid w:val="00D7718F"/>
    <w:rsid w:val="00D80CC6"/>
    <w:rsid w:val="00D81AB3"/>
    <w:rsid w:val="00D84964"/>
    <w:rsid w:val="00D850E9"/>
    <w:rsid w:val="00D86A05"/>
    <w:rsid w:val="00D90416"/>
    <w:rsid w:val="00D906A6"/>
    <w:rsid w:val="00D9536A"/>
    <w:rsid w:val="00D9632C"/>
    <w:rsid w:val="00D96A4F"/>
    <w:rsid w:val="00D97F71"/>
    <w:rsid w:val="00DA1B3C"/>
    <w:rsid w:val="00DA1F10"/>
    <w:rsid w:val="00DA2AB7"/>
    <w:rsid w:val="00DA69AD"/>
    <w:rsid w:val="00DA7F7B"/>
    <w:rsid w:val="00DB216B"/>
    <w:rsid w:val="00DB5052"/>
    <w:rsid w:val="00DB6650"/>
    <w:rsid w:val="00DC0132"/>
    <w:rsid w:val="00DC174C"/>
    <w:rsid w:val="00DC1E90"/>
    <w:rsid w:val="00DC22EF"/>
    <w:rsid w:val="00DC2EBB"/>
    <w:rsid w:val="00DC4D3D"/>
    <w:rsid w:val="00DC73C1"/>
    <w:rsid w:val="00DC7716"/>
    <w:rsid w:val="00DD4BC4"/>
    <w:rsid w:val="00DD5A71"/>
    <w:rsid w:val="00DD6E4F"/>
    <w:rsid w:val="00DE1546"/>
    <w:rsid w:val="00DE3832"/>
    <w:rsid w:val="00DE703A"/>
    <w:rsid w:val="00DE754A"/>
    <w:rsid w:val="00DF03A9"/>
    <w:rsid w:val="00DF0A1A"/>
    <w:rsid w:val="00DF5490"/>
    <w:rsid w:val="00DF70AD"/>
    <w:rsid w:val="00DF7198"/>
    <w:rsid w:val="00E01309"/>
    <w:rsid w:val="00E01860"/>
    <w:rsid w:val="00E033C2"/>
    <w:rsid w:val="00E05340"/>
    <w:rsid w:val="00E140DE"/>
    <w:rsid w:val="00E17B0C"/>
    <w:rsid w:val="00E221F1"/>
    <w:rsid w:val="00E310E5"/>
    <w:rsid w:val="00E31B74"/>
    <w:rsid w:val="00E3236C"/>
    <w:rsid w:val="00E3238D"/>
    <w:rsid w:val="00E36A5A"/>
    <w:rsid w:val="00E3706F"/>
    <w:rsid w:val="00E4378E"/>
    <w:rsid w:val="00E44D51"/>
    <w:rsid w:val="00E4618E"/>
    <w:rsid w:val="00E52ACB"/>
    <w:rsid w:val="00E53A8F"/>
    <w:rsid w:val="00E53AC8"/>
    <w:rsid w:val="00E55F68"/>
    <w:rsid w:val="00E56B8C"/>
    <w:rsid w:val="00E57D3B"/>
    <w:rsid w:val="00E6219A"/>
    <w:rsid w:val="00E65621"/>
    <w:rsid w:val="00E72C89"/>
    <w:rsid w:val="00E75FD6"/>
    <w:rsid w:val="00E81383"/>
    <w:rsid w:val="00E82726"/>
    <w:rsid w:val="00E8539B"/>
    <w:rsid w:val="00E8562C"/>
    <w:rsid w:val="00E902B0"/>
    <w:rsid w:val="00E9155B"/>
    <w:rsid w:val="00E93916"/>
    <w:rsid w:val="00E94315"/>
    <w:rsid w:val="00E94B4A"/>
    <w:rsid w:val="00E951B6"/>
    <w:rsid w:val="00E96F07"/>
    <w:rsid w:val="00EA020B"/>
    <w:rsid w:val="00EA0233"/>
    <w:rsid w:val="00EB2EA5"/>
    <w:rsid w:val="00EB549C"/>
    <w:rsid w:val="00EC1A69"/>
    <w:rsid w:val="00EC3190"/>
    <w:rsid w:val="00EC53E4"/>
    <w:rsid w:val="00EC63D0"/>
    <w:rsid w:val="00ED08E2"/>
    <w:rsid w:val="00ED39FA"/>
    <w:rsid w:val="00ED3F7C"/>
    <w:rsid w:val="00ED70F7"/>
    <w:rsid w:val="00EE23AD"/>
    <w:rsid w:val="00EF0D32"/>
    <w:rsid w:val="00EF205B"/>
    <w:rsid w:val="00EF2E40"/>
    <w:rsid w:val="00EF35FD"/>
    <w:rsid w:val="00EF403C"/>
    <w:rsid w:val="00EF4508"/>
    <w:rsid w:val="00EF7442"/>
    <w:rsid w:val="00F038FB"/>
    <w:rsid w:val="00F043DF"/>
    <w:rsid w:val="00F04F26"/>
    <w:rsid w:val="00F04FE1"/>
    <w:rsid w:val="00F0637A"/>
    <w:rsid w:val="00F119E7"/>
    <w:rsid w:val="00F11B7F"/>
    <w:rsid w:val="00F133B2"/>
    <w:rsid w:val="00F15242"/>
    <w:rsid w:val="00F154FF"/>
    <w:rsid w:val="00F15C6C"/>
    <w:rsid w:val="00F1638B"/>
    <w:rsid w:val="00F20F68"/>
    <w:rsid w:val="00F219C7"/>
    <w:rsid w:val="00F23515"/>
    <w:rsid w:val="00F25AC1"/>
    <w:rsid w:val="00F3129F"/>
    <w:rsid w:val="00F31565"/>
    <w:rsid w:val="00F3196E"/>
    <w:rsid w:val="00F3460F"/>
    <w:rsid w:val="00F357D2"/>
    <w:rsid w:val="00F35AA7"/>
    <w:rsid w:val="00F35BAC"/>
    <w:rsid w:val="00F370C4"/>
    <w:rsid w:val="00F40E56"/>
    <w:rsid w:val="00F44547"/>
    <w:rsid w:val="00F46F50"/>
    <w:rsid w:val="00F47D2C"/>
    <w:rsid w:val="00F555EF"/>
    <w:rsid w:val="00F561A7"/>
    <w:rsid w:val="00F5752E"/>
    <w:rsid w:val="00F623F3"/>
    <w:rsid w:val="00F62E88"/>
    <w:rsid w:val="00F64083"/>
    <w:rsid w:val="00F70D56"/>
    <w:rsid w:val="00F71DA3"/>
    <w:rsid w:val="00F740FD"/>
    <w:rsid w:val="00F76189"/>
    <w:rsid w:val="00F775D6"/>
    <w:rsid w:val="00F825BC"/>
    <w:rsid w:val="00F82E02"/>
    <w:rsid w:val="00F83F08"/>
    <w:rsid w:val="00F90F99"/>
    <w:rsid w:val="00F91BF2"/>
    <w:rsid w:val="00F927B7"/>
    <w:rsid w:val="00F92F3F"/>
    <w:rsid w:val="00FA1AFB"/>
    <w:rsid w:val="00FA2739"/>
    <w:rsid w:val="00FA5223"/>
    <w:rsid w:val="00FA7FDE"/>
    <w:rsid w:val="00FB164A"/>
    <w:rsid w:val="00FB565D"/>
    <w:rsid w:val="00FB587A"/>
    <w:rsid w:val="00FB5E93"/>
    <w:rsid w:val="00FC079A"/>
    <w:rsid w:val="00FC70CC"/>
    <w:rsid w:val="00FC7180"/>
    <w:rsid w:val="00FD344F"/>
    <w:rsid w:val="00FD4B00"/>
    <w:rsid w:val="00FD5C72"/>
    <w:rsid w:val="00FD6B4A"/>
    <w:rsid w:val="00FD700A"/>
    <w:rsid w:val="00FE0104"/>
    <w:rsid w:val="00FE0FBC"/>
    <w:rsid w:val="00FE1E54"/>
    <w:rsid w:val="00FE33C2"/>
    <w:rsid w:val="00FE3577"/>
    <w:rsid w:val="00FE464E"/>
    <w:rsid w:val="00FF0D50"/>
    <w:rsid w:val="00FF4F2D"/>
    <w:rsid w:val="00FF6393"/>
    <w:rsid w:val="00FF6A7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0E1D84"/>
    <w:rPr>
      <w:rFonts w:eastAsia="Times New Roman"/>
      <w:bCs/>
      <w:szCs w:val="26"/>
      <w:lang w:eastAsia="en-US"/>
    </w:rPr>
  </w:style>
  <w:style w:type="paragraph" w:styleId="Heading1">
    <w:name w:val="heading 1"/>
    <w:basedOn w:val="Normal"/>
    <w:next w:val="Normal"/>
    <w:link w:val="Heading1Char"/>
    <w:uiPriority w:val="9"/>
    <w:qFormat/>
    <w:rsid w:val="00A716D1"/>
    <w:p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137E8D"/>
    <w:pPr>
      <w:tabs>
        <w:tab w:val="left" w:pos="480"/>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695D70"/>
    <w:rPr>
      <w:color w:val="808080"/>
    </w:rPr>
  </w:style>
  <w:style w:type="paragraph" w:styleId="FootnoteText">
    <w:name w:val="footnote text"/>
    <w:basedOn w:val="Normal"/>
    <w:link w:val="FootnoteTextChar"/>
    <w:uiPriority w:val="99"/>
    <w:rsid w:val="001B2071"/>
    <w:rPr>
      <w:rFonts w:ascii="Calibri" w:eastAsia="MS Mincho" w:hAnsi="Calibri"/>
      <w:bCs w:val="0"/>
      <w:sz w:val="20"/>
      <w:szCs w:val="20"/>
    </w:rPr>
  </w:style>
  <w:style w:type="character" w:customStyle="1" w:styleId="FootnoteTextChar">
    <w:name w:val="Footnote Text Char"/>
    <w:basedOn w:val="DefaultParagraphFont"/>
    <w:link w:val="FootnoteText"/>
    <w:uiPriority w:val="99"/>
    <w:rsid w:val="001B2071"/>
    <w:rPr>
      <w:rFonts w:ascii="Calibri" w:eastAsia="MS Mincho" w:hAnsi="Calibri"/>
      <w:sz w:val="20"/>
      <w:szCs w:val="20"/>
      <w:lang w:eastAsia="en-US"/>
    </w:rPr>
  </w:style>
  <w:style w:type="character" w:styleId="FootnoteReference">
    <w:name w:val="footnote reference"/>
    <w:uiPriority w:val="99"/>
    <w:semiHidden/>
    <w:rsid w:val="001B2071"/>
    <w:rPr>
      <w:vertAlign w:val="superscript"/>
    </w:rPr>
  </w:style>
  <w:style w:type="paragraph" w:styleId="EndnoteText">
    <w:name w:val="endnote text"/>
    <w:basedOn w:val="Normal"/>
    <w:link w:val="EndnoteTextChar"/>
    <w:uiPriority w:val="99"/>
    <w:semiHidden/>
    <w:unhideWhenUsed/>
    <w:rsid w:val="001B2071"/>
    <w:rPr>
      <w:rFonts w:asciiTheme="minorHAnsi" w:eastAsiaTheme="minorHAnsi" w:hAnsiTheme="minorHAnsi" w:cstheme="minorBidi"/>
      <w:bCs w:val="0"/>
      <w:sz w:val="20"/>
      <w:szCs w:val="20"/>
    </w:rPr>
  </w:style>
  <w:style w:type="character" w:customStyle="1" w:styleId="EndnoteTextChar">
    <w:name w:val="Endnote Text Char"/>
    <w:basedOn w:val="DefaultParagraphFont"/>
    <w:link w:val="EndnoteText"/>
    <w:uiPriority w:val="99"/>
    <w:semiHidden/>
    <w:rsid w:val="001B2071"/>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sid w:val="001B2071"/>
    <w:rPr>
      <w:vertAlign w:val="superscript"/>
    </w:rPr>
  </w:style>
  <w:style w:type="character" w:styleId="CommentReference">
    <w:name w:val="annotation reference"/>
    <w:basedOn w:val="DefaultParagraphFont"/>
    <w:uiPriority w:val="99"/>
    <w:semiHidden/>
    <w:unhideWhenUsed/>
    <w:rsid w:val="00C46E44"/>
    <w:rPr>
      <w:sz w:val="16"/>
      <w:szCs w:val="16"/>
    </w:rPr>
  </w:style>
  <w:style w:type="paragraph" w:styleId="CommentText">
    <w:name w:val="annotation text"/>
    <w:basedOn w:val="Normal"/>
    <w:link w:val="CommentTextChar"/>
    <w:uiPriority w:val="99"/>
    <w:unhideWhenUsed/>
    <w:rsid w:val="00C46E44"/>
    <w:rPr>
      <w:sz w:val="20"/>
      <w:szCs w:val="20"/>
    </w:rPr>
  </w:style>
  <w:style w:type="character" w:customStyle="1" w:styleId="CommentTextChar">
    <w:name w:val="Comment Text Char"/>
    <w:basedOn w:val="DefaultParagraphFont"/>
    <w:link w:val="CommentText"/>
    <w:uiPriority w:val="99"/>
    <w:rsid w:val="00C46E44"/>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C46E44"/>
    <w:rPr>
      <w:b/>
    </w:rPr>
  </w:style>
  <w:style w:type="character" w:customStyle="1" w:styleId="CommentSubjectChar">
    <w:name w:val="Comment Subject Char"/>
    <w:basedOn w:val="CommentTextChar"/>
    <w:link w:val="CommentSubject"/>
    <w:uiPriority w:val="99"/>
    <w:semiHidden/>
    <w:rsid w:val="00C46E44"/>
    <w:rPr>
      <w:rFonts w:eastAsia="Times New Roman"/>
      <w:b/>
      <w:bCs/>
      <w:sz w:val="20"/>
      <w:szCs w:val="20"/>
      <w:lang w:eastAsia="en-US"/>
    </w:rPr>
  </w:style>
  <w:style w:type="table" w:styleId="LightGrid-Accent2">
    <w:name w:val="Light Grid Accent 2"/>
    <w:basedOn w:val="TableNormal"/>
    <w:uiPriority w:val="67"/>
    <w:rsid w:val="005B58F4"/>
    <w:tblPr>
      <w:tblStyleRowBandSize w:val="1"/>
      <w:tblStyleColBandSize w:val="1"/>
      <w:tblBorders>
        <w:top w:val="single" w:sz="8" w:space="0" w:color="A00054" w:themeColor="accent2"/>
        <w:left w:val="single" w:sz="8" w:space="0" w:color="A00054" w:themeColor="accent2"/>
        <w:bottom w:val="single" w:sz="8" w:space="0" w:color="A00054" w:themeColor="accent2"/>
        <w:right w:val="single" w:sz="8" w:space="0" w:color="A00054" w:themeColor="accent2"/>
        <w:insideH w:val="single" w:sz="8" w:space="0" w:color="A00054" w:themeColor="accent2"/>
        <w:insideV w:val="single" w:sz="8" w:space="0" w:color="A0005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0054" w:themeColor="accent2"/>
          <w:left w:val="single" w:sz="8" w:space="0" w:color="A00054" w:themeColor="accent2"/>
          <w:bottom w:val="single" w:sz="18" w:space="0" w:color="A00054" w:themeColor="accent2"/>
          <w:right w:val="single" w:sz="8" w:space="0" w:color="A00054" w:themeColor="accent2"/>
          <w:insideH w:val="nil"/>
          <w:insideV w:val="single" w:sz="8" w:space="0" w:color="A0005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0054" w:themeColor="accent2"/>
          <w:left w:val="single" w:sz="8" w:space="0" w:color="A00054" w:themeColor="accent2"/>
          <w:bottom w:val="single" w:sz="8" w:space="0" w:color="A00054" w:themeColor="accent2"/>
          <w:right w:val="single" w:sz="8" w:space="0" w:color="A00054" w:themeColor="accent2"/>
          <w:insideH w:val="nil"/>
          <w:insideV w:val="single" w:sz="8" w:space="0" w:color="A0005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0054" w:themeColor="accent2"/>
          <w:left w:val="single" w:sz="8" w:space="0" w:color="A00054" w:themeColor="accent2"/>
          <w:bottom w:val="single" w:sz="8" w:space="0" w:color="A00054" w:themeColor="accent2"/>
          <w:right w:val="single" w:sz="8" w:space="0" w:color="A00054" w:themeColor="accent2"/>
        </w:tcBorders>
      </w:tcPr>
    </w:tblStylePr>
    <w:tblStylePr w:type="band1Vert">
      <w:tblPr/>
      <w:tcPr>
        <w:tcBorders>
          <w:top w:val="single" w:sz="8" w:space="0" w:color="A00054" w:themeColor="accent2"/>
          <w:left w:val="single" w:sz="8" w:space="0" w:color="A00054" w:themeColor="accent2"/>
          <w:bottom w:val="single" w:sz="8" w:space="0" w:color="A00054" w:themeColor="accent2"/>
          <w:right w:val="single" w:sz="8" w:space="0" w:color="A00054" w:themeColor="accent2"/>
        </w:tcBorders>
        <w:shd w:val="clear" w:color="auto" w:fill="FFA8D5" w:themeFill="accent2" w:themeFillTint="3F"/>
      </w:tcPr>
    </w:tblStylePr>
    <w:tblStylePr w:type="band1Horz">
      <w:tblPr/>
      <w:tcPr>
        <w:tcBorders>
          <w:top w:val="single" w:sz="8" w:space="0" w:color="A00054" w:themeColor="accent2"/>
          <w:left w:val="single" w:sz="8" w:space="0" w:color="A00054" w:themeColor="accent2"/>
          <w:bottom w:val="single" w:sz="8" w:space="0" w:color="A00054" w:themeColor="accent2"/>
          <w:right w:val="single" w:sz="8" w:space="0" w:color="A00054" w:themeColor="accent2"/>
          <w:insideV w:val="single" w:sz="8" w:space="0" w:color="A00054" w:themeColor="accent2"/>
        </w:tcBorders>
        <w:shd w:val="clear" w:color="auto" w:fill="FFA8D5" w:themeFill="accent2" w:themeFillTint="3F"/>
      </w:tcPr>
    </w:tblStylePr>
    <w:tblStylePr w:type="band2Horz">
      <w:tblPr/>
      <w:tcPr>
        <w:tcBorders>
          <w:top w:val="single" w:sz="8" w:space="0" w:color="A00054" w:themeColor="accent2"/>
          <w:left w:val="single" w:sz="8" w:space="0" w:color="A00054" w:themeColor="accent2"/>
          <w:bottom w:val="single" w:sz="8" w:space="0" w:color="A00054" w:themeColor="accent2"/>
          <w:right w:val="single" w:sz="8" w:space="0" w:color="A00054" w:themeColor="accent2"/>
          <w:insideV w:val="single" w:sz="8" w:space="0" w:color="A00054" w:themeColor="accent2"/>
        </w:tcBorders>
      </w:tcPr>
    </w:tblStylePr>
  </w:style>
  <w:style w:type="table" w:styleId="LightGrid-Accent5">
    <w:name w:val="Light Grid Accent 5"/>
    <w:basedOn w:val="TableNormal"/>
    <w:uiPriority w:val="67"/>
    <w:rsid w:val="005B58F4"/>
    <w:tblPr>
      <w:tblStyleRowBandSize w:val="1"/>
      <w:tblStyleColBandSize w:val="1"/>
      <w:tblBorders>
        <w:top w:val="single" w:sz="8" w:space="0" w:color="003893" w:themeColor="accent5"/>
        <w:left w:val="single" w:sz="8" w:space="0" w:color="003893" w:themeColor="accent5"/>
        <w:bottom w:val="single" w:sz="8" w:space="0" w:color="003893" w:themeColor="accent5"/>
        <w:right w:val="single" w:sz="8" w:space="0" w:color="003893" w:themeColor="accent5"/>
        <w:insideH w:val="single" w:sz="8" w:space="0" w:color="003893" w:themeColor="accent5"/>
        <w:insideV w:val="single" w:sz="8" w:space="0" w:color="0038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93" w:themeColor="accent5"/>
          <w:left w:val="single" w:sz="8" w:space="0" w:color="003893" w:themeColor="accent5"/>
          <w:bottom w:val="single" w:sz="18" w:space="0" w:color="003893" w:themeColor="accent5"/>
          <w:right w:val="single" w:sz="8" w:space="0" w:color="003893" w:themeColor="accent5"/>
          <w:insideH w:val="nil"/>
          <w:insideV w:val="single" w:sz="8" w:space="0" w:color="0038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93" w:themeColor="accent5"/>
          <w:left w:val="single" w:sz="8" w:space="0" w:color="003893" w:themeColor="accent5"/>
          <w:bottom w:val="single" w:sz="8" w:space="0" w:color="003893" w:themeColor="accent5"/>
          <w:right w:val="single" w:sz="8" w:space="0" w:color="003893" w:themeColor="accent5"/>
          <w:insideH w:val="nil"/>
          <w:insideV w:val="single" w:sz="8" w:space="0" w:color="0038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93" w:themeColor="accent5"/>
          <w:left w:val="single" w:sz="8" w:space="0" w:color="003893" w:themeColor="accent5"/>
          <w:bottom w:val="single" w:sz="8" w:space="0" w:color="003893" w:themeColor="accent5"/>
          <w:right w:val="single" w:sz="8" w:space="0" w:color="003893" w:themeColor="accent5"/>
        </w:tcBorders>
      </w:tcPr>
    </w:tblStylePr>
    <w:tblStylePr w:type="band1Vert">
      <w:tblPr/>
      <w:tcPr>
        <w:tcBorders>
          <w:top w:val="single" w:sz="8" w:space="0" w:color="003893" w:themeColor="accent5"/>
          <w:left w:val="single" w:sz="8" w:space="0" w:color="003893" w:themeColor="accent5"/>
          <w:bottom w:val="single" w:sz="8" w:space="0" w:color="003893" w:themeColor="accent5"/>
          <w:right w:val="single" w:sz="8" w:space="0" w:color="003893" w:themeColor="accent5"/>
        </w:tcBorders>
        <w:shd w:val="clear" w:color="auto" w:fill="A5C7FF" w:themeFill="accent5" w:themeFillTint="3F"/>
      </w:tcPr>
    </w:tblStylePr>
    <w:tblStylePr w:type="band1Horz">
      <w:tblPr/>
      <w:tcPr>
        <w:tcBorders>
          <w:top w:val="single" w:sz="8" w:space="0" w:color="003893" w:themeColor="accent5"/>
          <w:left w:val="single" w:sz="8" w:space="0" w:color="003893" w:themeColor="accent5"/>
          <w:bottom w:val="single" w:sz="8" w:space="0" w:color="003893" w:themeColor="accent5"/>
          <w:right w:val="single" w:sz="8" w:space="0" w:color="003893" w:themeColor="accent5"/>
          <w:insideV w:val="single" w:sz="8" w:space="0" w:color="003893" w:themeColor="accent5"/>
        </w:tcBorders>
        <w:shd w:val="clear" w:color="auto" w:fill="A5C7FF" w:themeFill="accent5" w:themeFillTint="3F"/>
      </w:tcPr>
    </w:tblStylePr>
    <w:tblStylePr w:type="band2Horz">
      <w:tblPr/>
      <w:tcPr>
        <w:tcBorders>
          <w:top w:val="single" w:sz="8" w:space="0" w:color="003893" w:themeColor="accent5"/>
          <w:left w:val="single" w:sz="8" w:space="0" w:color="003893" w:themeColor="accent5"/>
          <w:bottom w:val="single" w:sz="8" w:space="0" w:color="003893" w:themeColor="accent5"/>
          <w:right w:val="single" w:sz="8" w:space="0" w:color="003893" w:themeColor="accent5"/>
          <w:insideV w:val="single" w:sz="8" w:space="0" w:color="003893" w:themeColor="accent5"/>
        </w:tcBorders>
      </w:tcPr>
    </w:tblStylePr>
  </w:style>
  <w:style w:type="table" w:styleId="LightGrid-Accent4">
    <w:name w:val="Light Grid Accent 4"/>
    <w:basedOn w:val="TableNormal"/>
    <w:uiPriority w:val="67"/>
    <w:rsid w:val="00E4378E"/>
    <w:tblPr>
      <w:tblStyleRowBandSize w:val="1"/>
      <w:tblStyleColBandSize w:val="1"/>
      <w:tblBorders>
        <w:top w:val="single" w:sz="8" w:space="0" w:color="0091C9" w:themeColor="accent4"/>
        <w:left w:val="single" w:sz="8" w:space="0" w:color="0091C9" w:themeColor="accent4"/>
        <w:bottom w:val="single" w:sz="8" w:space="0" w:color="0091C9" w:themeColor="accent4"/>
        <w:right w:val="single" w:sz="8" w:space="0" w:color="0091C9" w:themeColor="accent4"/>
        <w:insideH w:val="single" w:sz="8" w:space="0" w:color="0091C9" w:themeColor="accent4"/>
        <w:insideV w:val="single" w:sz="8" w:space="0" w:color="0091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1C9" w:themeColor="accent4"/>
          <w:left w:val="single" w:sz="8" w:space="0" w:color="0091C9" w:themeColor="accent4"/>
          <w:bottom w:val="single" w:sz="18" w:space="0" w:color="0091C9" w:themeColor="accent4"/>
          <w:right w:val="single" w:sz="8" w:space="0" w:color="0091C9" w:themeColor="accent4"/>
          <w:insideH w:val="nil"/>
          <w:insideV w:val="single" w:sz="8" w:space="0" w:color="0091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1C9" w:themeColor="accent4"/>
          <w:left w:val="single" w:sz="8" w:space="0" w:color="0091C9" w:themeColor="accent4"/>
          <w:bottom w:val="single" w:sz="8" w:space="0" w:color="0091C9" w:themeColor="accent4"/>
          <w:right w:val="single" w:sz="8" w:space="0" w:color="0091C9" w:themeColor="accent4"/>
          <w:insideH w:val="nil"/>
          <w:insideV w:val="single" w:sz="8" w:space="0" w:color="0091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1C9" w:themeColor="accent4"/>
          <w:left w:val="single" w:sz="8" w:space="0" w:color="0091C9" w:themeColor="accent4"/>
          <w:bottom w:val="single" w:sz="8" w:space="0" w:color="0091C9" w:themeColor="accent4"/>
          <w:right w:val="single" w:sz="8" w:space="0" w:color="0091C9" w:themeColor="accent4"/>
        </w:tcBorders>
      </w:tcPr>
    </w:tblStylePr>
    <w:tblStylePr w:type="band1Vert">
      <w:tblPr/>
      <w:tcPr>
        <w:tcBorders>
          <w:top w:val="single" w:sz="8" w:space="0" w:color="0091C9" w:themeColor="accent4"/>
          <w:left w:val="single" w:sz="8" w:space="0" w:color="0091C9" w:themeColor="accent4"/>
          <w:bottom w:val="single" w:sz="8" w:space="0" w:color="0091C9" w:themeColor="accent4"/>
          <w:right w:val="single" w:sz="8" w:space="0" w:color="0091C9" w:themeColor="accent4"/>
        </w:tcBorders>
        <w:shd w:val="clear" w:color="auto" w:fill="B2E9FF" w:themeFill="accent4" w:themeFillTint="3F"/>
      </w:tcPr>
    </w:tblStylePr>
    <w:tblStylePr w:type="band1Horz">
      <w:tblPr/>
      <w:tcPr>
        <w:tcBorders>
          <w:top w:val="single" w:sz="8" w:space="0" w:color="0091C9" w:themeColor="accent4"/>
          <w:left w:val="single" w:sz="8" w:space="0" w:color="0091C9" w:themeColor="accent4"/>
          <w:bottom w:val="single" w:sz="8" w:space="0" w:color="0091C9" w:themeColor="accent4"/>
          <w:right w:val="single" w:sz="8" w:space="0" w:color="0091C9" w:themeColor="accent4"/>
          <w:insideV w:val="single" w:sz="8" w:space="0" w:color="0091C9" w:themeColor="accent4"/>
        </w:tcBorders>
        <w:shd w:val="clear" w:color="auto" w:fill="B2E9FF" w:themeFill="accent4" w:themeFillTint="3F"/>
      </w:tcPr>
    </w:tblStylePr>
    <w:tblStylePr w:type="band2Horz">
      <w:tblPr/>
      <w:tcPr>
        <w:tcBorders>
          <w:top w:val="single" w:sz="8" w:space="0" w:color="0091C9" w:themeColor="accent4"/>
          <w:left w:val="single" w:sz="8" w:space="0" w:color="0091C9" w:themeColor="accent4"/>
          <w:bottom w:val="single" w:sz="8" w:space="0" w:color="0091C9" w:themeColor="accent4"/>
          <w:right w:val="single" w:sz="8" w:space="0" w:color="0091C9" w:themeColor="accent4"/>
          <w:insideV w:val="single" w:sz="8" w:space="0" w:color="0091C9" w:themeColor="accent4"/>
        </w:tcBorders>
      </w:tcPr>
    </w:tblStylePr>
  </w:style>
  <w:style w:type="table" w:styleId="LightGrid-Accent1">
    <w:name w:val="Light Grid Accent 1"/>
    <w:basedOn w:val="TableNormal"/>
    <w:uiPriority w:val="67"/>
    <w:rsid w:val="00E4378E"/>
    <w:tblPr>
      <w:tblStyleRowBandSize w:val="1"/>
      <w:tblStyleColBandSize w:val="1"/>
      <w:tblBorders>
        <w:top w:val="single" w:sz="8" w:space="0" w:color="0072C6" w:themeColor="accent1"/>
        <w:left w:val="single" w:sz="8" w:space="0" w:color="0072C6" w:themeColor="accent1"/>
        <w:bottom w:val="single" w:sz="8" w:space="0" w:color="0072C6" w:themeColor="accent1"/>
        <w:right w:val="single" w:sz="8" w:space="0" w:color="0072C6" w:themeColor="accent1"/>
        <w:insideH w:val="single" w:sz="8" w:space="0" w:color="0072C6" w:themeColor="accent1"/>
        <w:insideV w:val="single" w:sz="8" w:space="0" w:color="0072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6" w:themeColor="accent1"/>
          <w:left w:val="single" w:sz="8" w:space="0" w:color="0072C6" w:themeColor="accent1"/>
          <w:bottom w:val="single" w:sz="18" w:space="0" w:color="0072C6" w:themeColor="accent1"/>
          <w:right w:val="single" w:sz="8" w:space="0" w:color="0072C6" w:themeColor="accent1"/>
          <w:insideH w:val="nil"/>
          <w:insideV w:val="single" w:sz="8" w:space="0" w:color="0072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6" w:themeColor="accent1"/>
          <w:left w:val="single" w:sz="8" w:space="0" w:color="0072C6" w:themeColor="accent1"/>
          <w:bottom w:val="single" w:sz="8" w:space="0" w:color="0072C6" w:themeColor="accent1"/>
          <w:right w:val="single" w:sz="8" w:space="0" w:color="0072C6" w:themeColor="accent1"/>
          <w:insideH w:val="nil"/>
          <w:insideV w:val="single" w:sz="8" w:space="0" w:color="0072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tblStylePr w:type="band1Vert">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shd w:val="clear" w:color="auto" w:fill="B1DDFF" w:themeFill="accent1" w:themeFillTint="3F"/>
      </w:tcPr>
    </w:tblStylePr>
    <w:tblStylePr w:type="band1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insideV w:val="single" w:sz="8" w:space="0" w:color="0072C6" w:themeColor="accent1"/>
        </w:tcBorders>
        <w:shd w:val="clear" w:color="auto" w:fill="B1DDFF" w:themeFill="accent1" w:themeFillTint="3F"/>
      </w:tcPr>
    </w:tblStylePr>
    <w:tblStylePr w:type="band2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insideV w:val="single" w:sz="8" w:space="0" w:color="0072C6" w:themeColor="accent1"/>
        </w:tcBorders>
      </w:tcPr>
    </w:tblStylePr>
  </w:style>
  <w:style w:type="table" w:styleId="LightList-Accent6">
    <w:name w:val="Light List Accent 6"/>
    <w:basedOn w:val="TableNormal"/>
    <w:uiPriority w:val="66"/>
    <w:rsid w:val="00297B2D"/>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paragraph" w:styleId="NoSpacing">
    <w:name w:val="No Spacing"/>
    <w:link w:val="NoSpacingChar"/>
    <w:uiPriority w:val="1"/>
    <w:qFormat/>
    <w:rsid w:val="005E7A17"/>
    <w:rPr>
      <w:rFonts w:asciiTheme="minorHAnsi" w:eastAsiaTheme="minorHAnsi" w:hAnsiTheme="minorHAnsi" w:cstheme="minorBidi"/>
      <w:sz w:val="22"/>
      <w:szCs w:val="22"/>
      <w:lang w:eastAsia="en-US"/>
    </w:rPr>
  </w:style>
  <w:style w:type="table" w:customStyle="1" w:styleId="TableGrid3">
    <w:name w:val="Table Grid3"/>
    <w:basedOn w:val="TableNormal"/>
    <w:next w:val="TableGrid"/>
    <w:uiPriority w:val="59"/>
    <w:rsid w:val="005E7A1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E7A17"/>
    <w:rPr>
      <w:rFonts w:asciiTheme="minorHAnsi" w:eastAsiaTheme="minorHAnsi" w:hAnsiTheme="minorHAnsi" w:cstheme="minorBidi"/>
      <w:sz w:val="22"/>
      <w:szCs w:val="22"/>
      <w:lang w:eastAsia="en-US"/>
    </w:rPr>
  </w:style>
  <w:style w:type="paragraph" w:customStyle="1" w:styleId="00-Normal-BA">
    <w:name w:val="00-Normal-BA"/>
    <w:rsid w:val="0058419C"/>
    <w:pPr>
      <w:jc w:val="both"/>
    </w:pPr>
    <w:rPr>
      <w:rFonts w:eastAsia="Times New Roman"/>
      <w:sz w:val="22"/>
      <w:szCs w:val="20"/>
      <w:lang w:eastAsia="en-US"/>
    </w:rPr>
  </w:style>
  <w:style w:type="paragraph" w:styleId="NormalWeb">
    <w:name w:val="Normal (Web)"/>
    <w:basedOn w:val="Normal"/>
    <w:uiPriority w:val="99"/>
    <w:semiHidden/>
    <w:unhideWhenUsed/>
    <w:rsid w:val="001C2A5F"/>
    <w:pPr>
      <w:spacing w:before="100" w:beforeAutospacing="1" w:after="100" w:afterAutospacing="1"/>
    </w:pPr>
    <w:rPr>
      <w:rFonts w:ascii="Times New Roman" w:eastAsiaTheme="minorEastAsia" w:hAnsi="Times New Roman"/>
      <w:bCs w:val="0"/>
      <w:szCs w:val="24"/>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72371B"/>
    <w:rPr>
      <w:rFonts w:eastAsia="Times New Roman"/>
      <w:bCs/>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0E1D84"/>
    <w:rPr>
      <w:rFonts w:eastAsia="Times New Roman"/>
      <w:bCs/>
      <w:szCs w:val="26"/>
      <w:lang w:eastAsia="en-US"/>
    </w:rPr>
  </w:style>
  <w:style w:type="paragraph" w:styleId="Heading1">
    <w:name w:val="heading 1"/>
    <w:basedOn w:val="Normal"/>
    <w:next w:val="Normal"/>
    <w:link w:val="Heading1Char"/>
    <w:uiPriority w:val="9"/>
    <w:qFormat/>
    <w:rsid w:val="00A716D1"/>
    <w:p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137E8D"/>
    <w:pPr>
      <w:tabs>
        <w:tab w:val="left" w:pos="480"/>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695D70"/>
    <w:rPr>
      <w:color w:val="808080"/>
    </w:rPr>
  </w:style>
  <w:style w:type="paragraph" w:styleId="FootnoteText">
    <w:name w:val="footnote text"/>
    <w:basedOn w:val="Normal"/>
    <w:link w:val="FootnoteTextChar"/>
    <w:uiPriority w:val="99"/>
    <w:rsid w:val="001B2071"/>
    <w:rPr>
      <w:rFonts w:ascii="Calibri" w:eastAsia="MS Mincho" w:hAnsi="Calibri"/>
      <w:bCs w:val="0"/>
      <w:sz w:val="20"/>
      <w:szCs w:val="20"/>
    </w:rPr>
  </w:style>
  <w:style w:type="character" w:customStyle="1" w:styleId="FootnoteTextChar">
    <w:name w:val="Footnote Text Char"/>
    <w:basedOn w:val="DefaultParagraphFont"/>
    <w:link w:val="FootnoteText"/>
    <w:uiPriority w:val="99"/>
    <w:rsid w:val="001B2071"/>
    <w:rPr>
      <w:rFonts w:ascii="Calibri" w:eastAsia="MS Mincho" w:hAnsi="Calibri"/>
      <w:sz w:val="20"/>
      <w:szCs w:val="20"/>
      <w:lang w:eastAsia="en-US"/>
    </w:rPr>
  </w:style>
  <w:style w:type="character" w:styleId="FootnoteReference">
    <w:name w:val="footnote reference"/>
    <w:uiPriority w:val="99"/>
    <w:semiHidden/>
    <w:rsid w:val="001B2071"/>
    <w:rPr>
      <w:vertAlign w:val="superscript"/>
    </w:rPr>
  </w:style>
  <w:style w:type="paragraph" w:styleId="EndnoteText">
    <w:name w:val="endnote text"/>
    <w:basedOn w:val="Normal"/>
    <w:link w:val="EndnoteTextChar"/>
    <w:uiPriority w:val="99"/>
    <w:semiHidden/>
    <w:unhideWhenUsed/>
    <w:rsid w:val="001B2071"/>
    <w:rPr>
      <w:rFonts w:asciiTheme="minorHAnsi" w:eastAsiaTheme="minorHAnsi" w:hAnsiTheme="minorHAnsi" w:cstheme="minorBidi"/>
      <w:bCs w:val="0"/>
      <w:sz w:val="20"/>
      <w:szCs w:val="20"/>
    </w:rPr>
  </w:style>
  <w:style w:type="character" w:customStyle="1" w:styleId="EndnoteTextChar">
    <w:name w:val="Endnote Text Char"/>
    <w:basedOn w:val="DefaultParagraphFont"/>
    <w:link w:val="EndnoteText"/>
    <w:uiPriority w:val="99"/>
    <w:semiHidden/>
    <w:rsid w:val="001B2071"/>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sid w:val="001B2071"/>
    <w:rPr>
      <w:vertAlign w:val="superscript"/>
    </w:rPr>
  </w:style>
  <w:style w:type="character" w:styleId="CommentReference">
    <w:name w:val="annotation reference"/>
    <w:basedOn w:val="DefaultParagraphFont"/>
    <w:uiPriority w:val="99"/>
    <w:semiHidden/>
    <w:unhideWhenUsed/>
    <w:rsid w:val="00C46E44"/>
    <w:rPr>
      <w:sz w:val="16"/>
      <w:szCs w:val="16"/>
    </w:rPr>
  </w:style>
  <w:style w:type="paragraph" w:styleId="CommentText">
    <w:name w:val="annotation text"/>
    <w:basedOn w:val="Normal"/>
    <w:link w:val="CommentTextChar"/>
    <w:uiPriority w:val="99"/>
    <w:unhideWhenUsed/>
    <w:rsid w:val="00C46E44"/>
    <w:rPr>
      <w:sz w:val="20"/>
      <w:szCs w:val="20"/>
    </w:rPr>
  </w:style>
  <w:style w:type="character" w:customStyle="1" w:styleId="CommentTextChar">
    <w:name w:val="Comment Text Char"/>
    <w:basedOn w:val="DefaultParagraphFont"/>
    <w:link w:val="CommentText"/>
    <w:uiPriority w:val="99"/>
    <w:rsid w:val="00C46E44"/>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C46E44"/>
    <w:rPr>
      <w:b/>
    </w:rPr>
  </w:style>
  <w:style w:type="character" w:customStyle="1" w:styleId="CommentSubjectChar">
    <w:name w:val="Comment Subject Char"/>
    <w:basedOn w:val="CommentTextChar"/>
    <w:link w:val="CommentSubject"/>
    <w:uiPriority w:val="99"/>
    <w:semiHidden/>
    <w:rsid w:val="00C46E44"/>
    <w:rPr>
      <w:rFonts w:eastAsia="Times New Roman"/>
      <w:b/>
      <w:bCs/>
      <w:sz w:val="20"/>
      <w:szCs w:val="20"/>
      <w:lang w:eastAsia="en-US"/>
    </w:rPr>
  </w:style>
  <w:style w:type="table" w:styleId="LightGrid-Accent2">
    <w:name w:val="Light Grid Accent 2"/>
    <w:basedOn w:val="TableNormal"/>
    <w:uiPriority w:val="67"/>
    <w:rsid w:val="005B58F4"/>
    <w:tblPr>
      <w:tblStyleRowBandSize w:val="1"/>
      <w:tblStyleColBandSize w:val="1"/>
      <w:tblBorders>
        <w:top w:val="single" w:sz="8" w:space="0" w:color="A00054" w:themeColor="accent2"/>
        <w:left w:val="single" w:sz="8" w:space="0" w:color="A00054" w:themeColor="accent2"/>
        <w:bottom w:val="single" w:sz="8" w:space="0" w:color="A00054" w:themeColor="accent2"/>
        <w:right w:val="single" w:sz="8" w:space="0" w:color="A00054" w:themeColor="accent2"/>
        <w:insideH w:val="single" w:sz="8" w:space="0" w:color="A00054" w:themeColor="accent2"/>
        <w:insideV w:val="single" w:sz="8" w:space="0" w:color="A0005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0054" w:themeColor="accent2"/>
          <w:left w:val="single" w:sz="8" w:space="0" w:color="A00054" w:themeColor="accent2"/>
          <w:bottom w:val="single" w:sz="18" w:space="0" w:color="A00054" w:themeColor="accent2"/>
          <w:right w:val="single" w:sz="8" w:space="0" w:color="A00054" w:themeColor="accent2"/>
          <w:insideH w:val="nil"/>
          <w:insideV w:val="single" w:sz="8" w:space="0" w:color="A0005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0054" w:themeColor="accent2"/>
          <w:left w:val="single" w:sz="8" w:space="0" w:color="A00054" w:themeColor="accent2"/>
          <w:bottom w:val="single" w:sz="8" w:space="0" w:color="A00054" w:themeColor="accent2"/>
          <w:right w:val="single" w:sz="8" w:space="0" w:color="A00054" w:themeColor="accent2"/>
          <w:insideH w:val="nil"/>
          <w:insideV w:val="single" w:sz="8" w:space="0" w:color="A0005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0054" w:themeColor="accent2"/>
          <w:left w:val="single" w:sz="8" w:space="0" w:color="A00054" w:themeColor="accent2"/>
          <w:bottom w:val="single" w:sz="8" w:space="0" w:color="A00054" w:themeColor="accent2"/>
          <w:right w:val="single" w:sz="8" w:space="0" w:color="A00054" w:themeColor="accent2"/>
        </w:tcBorders>
      </w:tcPr>
    </w:tblStylePr>
    <w:tblStylePr w:type="band1Vert">
      <w:tblPr/>
      <w:tcPr>
        <w:tcBorders>
          <w:top w:val="single" w:sz="8" w:space="0" w:color="A00054" w:themeColor="accent2"/>
          <w:left w:val="single" w:sz="8" w:space="0" w:color="A00054" w:themeColor="accent2"/>
          <w:bottom w:val="single" w:sz="8" w:space="0" w:color="A00054" w:themeColor="accent2"/>
          <w:right w:val="single" w:sz="8" w:space="0" w:color="A00054" w:themeColor="accent2"/>
        </w:tcBorders>
        <w:shd w:val="clear" w:color="auto" w:fill="FFA8D5" w:themeFill="accent2" w:themeFillTint="3F"/>
      </w:tcPr>
    </w:tblStylePr>
    <w:tblStylePr w:type="band1Horz">
      <w:tblPr/>
      <w:tcPr>
        <w:tcBorders>
          <w:top w:val="single" w:sz="8" w:space="0" w:color="A00054" w:themeColor="accent2"/>
          <w:left w:val="single" w:sz="8" w:space="0" w:color="A00054" w:themeColor="accent2"/>
          <w:bottom w:val="single" w:sz="8" w:space="0" w:color="A00054" w:themeColor="accent2"/>
          <w:right w:val="single" w:sz="8" w:space="0" w:color="A00054" w:themeColor="accent2"/>
          <w:insideV w:val="single" w:sz="8" w:space="0" w:color="A00054" w:themeColor="accent2"/>
        </w:tcBorders>
        <w:shd w:val="clear" w:color="auto" w:fill="FFA8D5" w:themeFill="accent2" w:themeFillTint="3F"/>
      </w:tcPr>
    </w:tblStylePr>
    <w:tblStylePr w:type="band2Horz">
      <w:tblPr/>
      <w:tcPr>
        <w:tcBorders>
          <w:top w:val="single" w:sz="8" w:space="0" w:color="A00054" w:themeColor="accent2"/>
          <w:left w:val="single" w:sz="8" w:space="0" w:color="A00054" w:themeColor="accent2"/>
          <w:bottom w:val="single" w:sz="8" w:space="0" w:color="A00054" w:themeColor="accent2"/>
          <w:right w:val="single" w:sz="8" w:space="0" w:color="A00054" w:themeColor="accent2"/>
          <w:insideV w:val="single" w:sz="8" w:space="0" w:color="A00054" w:themeColor="accent2"/>
        </w:tcBorders>
      </w:tcPr>
    </w:tblStylePr>
  </w:style>
  <w:style w:type="table" w:styleId="LightGrid-Accent5">
    <w:name w:val="Light Grid Accent 5"/>
    <w:basedOn w:val="TableNormal"/>
    <w:uiPriority w:val="67"/>
    <w:rsid w:val="005B58F4"/>
    <w:tblPr>
      <w:tblStyleRowBandSize w:val="1"/>
      <w:tblStyleColBandSize w:val="1"/>
      <w:tblBorders>
        <w:top w:val="single" w:sz="8" w:space="0" w:color="003893" w:themeColor="accent5"/>
        <w:left w:val="single" w:sz="8" w:space="0" w:color="003893" w:themeColor="accent5"/>
        <w:bottom w:val="single" w:sz="8" w:space="0" w:color="003893" w:themeColor="accent5"/>
        <w:right w:val="single" w:sz="8" w:space="0" w:color="003893" w:themeColor="accent5"/>
        <w:insideH w:val="single" w:sz="8" w:space="0" w:color="003893" w:themeColor="accent5"/>
        <w:insideV w:val="single" w:sz="8" w:space="0" w:color="0038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93" w:themeColor="accent5"/>
          <w:left w:val="single" w:sz="8" w:space="0" w:color="003893" w:themeColor="accent5"/>
          <w:bottom w:val="single" w:sz="18" w:space="0" w:color="003893" w:themeColor="accent5"/>
          <w:right w:val="single" w:sz="8" w:space="0" w:color="003893" w:themeColor="accent5"/>
          <w:insideH w:val="nil"/>
          <w:insideV w:val="single" w:sz="8" w:space="0" w:color="0038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93" w:themeColor="accent5"/>
          <w:left w:val="single" w:sz="8" w:space="0" w:color="003893" w:themeColor="accent5"/>
          <w:bottom w:val="single" w:sz="8" w:space="0" w:color="003893" w:themeColor="accent5"/>
          <w:right w:val="single" w:sz="8" w:space="0" w:color="003893" w:themeColor="accent5"/>
          <w:insideH w:val="nil"/>
          <w:insideV w:val="single" w:sz="8" w:space="0" w:color="0038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93" w:themeColor="accent5"/>
          <w:left w:val="single" w:sz="8" w:space="0" w:color="003893" w:themeColor="accent5"/>
          <w:bottom w:val="single" w:sz="8" w:space="0" w:color="003893" w:themeColor="accent5"/>
          <w:right w:val="single" w:sz="8" w:space="0" w:color="003893" w:themeColor="accent5"/>
        </w:tcBorders>
      </w:tcPr>
    </w:tblStylePr>
    <w:tblStylePr w:type="band1Vert">
      <w:tblPr/>
      <w:tcPr>
        <w:tcBorders>
          <w:top w:val="single" w:sz="8" w:space="0" w:color="003893" w:themeColor="accent5"/>
          <w:left w:val="single" w:sz="8" w:space="0" w:color="003893" w:themeColor="accent5"/>
          <w:bottom w:val="single" w:sz="8" w:space="0" w:color="003893" w:themeColor="accent5"/>
          <w:right w:val="single" w:sz="8" w:space="0" w:color="003893" w:themeColor="accent5"/>
        </w:tcBorders>
        <w:shd w:val="clear" w:color="auto" w:fill="A5C7FF" w:themeFill="accent5" w:themeFillTint="3F"/>
      </w:tcPr>
    </w:tblStylePr>
    <w:tblStylePr w:type="band1Horz">
      <w:tblPr/>
      <w:tcPr>
        <w:tcBorders>
          <w:top w:val="single" w:sz="8" w:space="0" w:color="003893" w:themeColor="accent5"/>
          <w:left w:val="single" w:sz="8" w:space="0" w:color="003893" w:themeColor="accent5"/>
          <w:bottom w:val="single" w:sz="8" w:space="0" w:color="003893" w:themeColor="accent5"/>
          <w:right w:val="single" w:sz="8" w:space="0" w:color="003893" w:themeColor="accent5"/>
          <w:insideV w:val="single" w:sz="8" w:space="0" w:color="003893" w:themeColor="accent5"/>
        </w:tcBorders>
        <w:shd w:val="clear" w:color="auto" w:fill="A5C7FF" w:themeFill="accent5" w:themeFillTint="3F"/>
      </w:tcPr>
    </w:tblStylePr>
    <w:tblStylePr w:type="band2Horz">
      <w:tblPr/>
      <w:tcPr>
        <w:tcBorders>
          <w:top w:val="single" w:sz="8" w:space="0" w:color="003893" w:themeColor="accent5"/>
          <w:left w:val="single" w:sz="8" w:space="0" w:color="003893" w:themeColor="accent5"/>
          <w:bottom w:val="single" w:sz="8" w:space="0" w:color="003893" w:themeColor="accent5"/>
          <w:right w:val="single" w:sz="8" w:space="0" w:color="003893" w:themeColor="accent5"/>
          <w:insideV w:val="single" w:sz="8" w:space="0" w:color="003893" w:themeColor="accent5"/>
        </w:tcBorders>
      </w:tcPr>
    </w:tblStylePr>
  </w:style>
  <w:style w:type="table" w:styleId="LightGrid-Accent4">
    <w:name w:val="Light Grid Accent 4"/>
    <w:basedOn w:val="TableNormal"/>
    <w:uiPriority w:val="67"/>
    <w:rsid w:val="00E4378E"/>
    <w:tblPr>
      <w:tblStyleRowBandSize w:val="1"/>
      <w:tblStyleColBandSize w:val="1"/>
      <w:tblBorders>
        <w:top w:val="single" w:sz="8" w:space="0" w:color="0091C9" w:themeColor="accent4"/>
        <w:left w:val="single" w:sz="8" w:space="0" w:color="0091C9" w:themeColor="accent4"/>
        <w:bottom w:val="single" w:sz="8" w:space="0" w:color="0091C9" w:themeColor="accent4"/>
        <w:right w:val="single" w:sz="8" w:space="0" w:color="0091C9" w:themeColor="accent4"/>
        <w:insideH w:val="single" w:sz="8" w:space="0" w:color="0091C9" w:themeColor="accent4"/>
        <w:insideV w:val="single" w:sz="8" w:space="0" w:color="0091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1C9" w:themeColor="accent4"/>
          <w:left w:val="single" w:sz="8" w:space="0" w:color="0091C9" w:themeColor="accent4"/>
          <w:bottom w:val="single" w:sz="18" w:space="0" w:color="0091C9" w:themeColor="accent4"/>
          <w:right w:val="single" w:sz="8" w:space="0" w:color="0091C9" w:themeColor="accent4"/>
          <w:insideH w:val="nil"/>
          <w:insideV w:val="single" w:sz="8" w:space="0" w:color="0091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1C9" w:themeColor="accent4"/>
          <w:left w:val="single" w:sz="8" w:space="0" w:color="0091C9" w:themeColor="accent4"/>
          <w:bottom w:val="single" w:sz="8" w:space="0" w:color="0091C9" w:themeColor="accent4"/>
          <w:right w:val="single" w:sz="8" w:space="0" w:color="0091C9" w:themeColor="accent4"/>
          <w:insideH w:val="nil"/>
          <w:insideV w:val="single" w:sz="8" w:space="0" w:color="0091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1C9" w:themeColor="accent4"/>
          <w:left w:val="single" w:sz="8" w:space="0" w:color="0091C9" w:themeColor="accent4"/>
          <w:bottom w:val="single" w:sz="8" w:space="0" w:color="0091C9" w:themeColor="accent4"/>
          <w:right w:val="single" w:sz="8" w:space="0" w:color="0091C9" w:themeColor="accent4"/>
        </w:tcBorders>
      </w:tcPr>
    </w:tblStylePr>
    <w:tblStylePr w:type="band1Vert">
      <w:tblPr/>
      <w:tcPr>
        <w:tcBorders>
          <w:top w:val="single" w:sz="8" w:space="0" w:color="0091C9" w:themeColor="accent4"/>
          <w:left w:val="single" w:sz="8" w:space="0" w:color="0091C9" w:themeColor="accent4"/>
          <w:bottom w:val="single" w:sz="8" w:space="0" w:color="0091C9" w:themeColor="accent4"/>
          <w:right w:val="single" w:sz="8" w:space="0" w:color="0091C9" w:themeColor="accent4"/>
        </w:tcBorders>
        <w:shd w:val="clear" w:color="auto" w:fill="B2E9FF" w:themeFill="accent4" w:themeFillTint="3F"/>
      </w:tcPr>
    </w:tblStylePr>
    <w:tblStylePr w:type="band1Horz">
      <w:tblPr/>
      <w:tcPr>
        <w:tcBorders>
          <w:top w:val="single" w:sz="8" w:space="0" w:color="0091C9" w:themeColor="accent4"/>
          <w:left w:val="single" w:sz="8" w:space="0" w:color="0091C9" w:themeColor="accent4"/>
          <w:bottom w:val="single" w:sz="8" w:space="0" w:color="0091C9" w:themeColor="accent4"/>
          <w:right w:val="single" w:sz="8" w:space="0" w:color="0091C9" w:themeColor="accent4"/>
          <w:insideV w:val="single" w:sz="8" w:space="0" w:color="0091C9" w:themeColor="accent4"/>
        </w:tcBorders>
        <w:shd w:val="clear" w:color="auto" w:fill="B2E9FF" w:themeFill="accent4" w:themeFillTint="3F"/>
      </w:tcPr>
    </w:tblStylePr>
    <w:tblStylePr w:type="band2Horz">
      <w:tblPr/>
      <w:tcPr>
        <w:tcBorders>
          <w:top w:val="single" w:sz="8" w:space="0" w:color="0091C9" w:themeColor="accent4"/>
          <w:left w:val="single" w:sz="8" w:space="0" w:color="0091C9" w:themeColor="accent4"/>
          <w:bottom w:val="single" w:sz="8" w:space="0" w:color="0091C9" w:themeColor="accent4"/>
          <w:right w:val="single" w:sz="8" w:space="0" w:color="0091C9" w:themeColor="accent4"/>
          <w:insideV w:val="single" w:sz="8" w:space="0" w:color="0091C9" w:themeColor="accent4"/>
        </w:tcBorders>
      </w:tcPr>
    </w:tblStylePr>
  </w:style>
  <w:style w:type="table" w:styleId="LightGrid-Accent1">
    <w:name w:val="Light Grid Accent 1"/>
    <w:basedOn w:val="TableNormal"/>
    <w:uiPriority w:val="67"/>
    <w:rsid w:val="00E4378E"/>
    <w:tblPr>
      <w:tblStyleRowBandSize w:val="1"/>
      <w:tblStyleColBandSize w:val="1"/>
      <w:tblBorders>
        <w:top w:val="single" w:sz="8" w:space="0" w:color="0072C6" w:themeColor="accent1"/>
        <w:left w:val="single" w:sz="8" w:space="0" w:color="0072C6" w:themeColor="accent1"/>
        <w:bottom w:val="single" w:sz="8" w:space="0" w:color="0072C6" w:themeColor="accent1"/>
        <w:right w:val="single" w:sz="8" w:space="0" w:color="0072C6" w:themeColor="accent1"/>
        <w:insideH w:val="single" w:sz="8" w:space="0" w:color="0072C6" w:themeColor="accent1"/>
        <w:insideV w:val="single" w:sz="8" w:space="0" w:color="0072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6" w:themeColor="accent1"/>
          <w:left w:val="single" w:sz="8" w:space="0" w:color="0072C6" w:themeColor="accent1"/>
          <w:bottom w:val="single" w:sz="18" w:space="0" w:color="0072C6" w:themeColor="accent1"/>
          <w:right w:val="single" w:sz="8" w:space="0" w:color="0072C6" w:themeColor="accent1"/>
          <w:insideH w:val="nil"/>
          <w:insideV w:val="single" w:sz="8" w:space="0" w:color="0072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6" w:themeColor="accent1"/>
          <w:left w:val="single" w:sz="8" w:space="0" w:color="0072C6" w:themeColor="accent1"/>
          <w:bottom w:val="single" w:sz="8" w:space="0" w:color="0072C6" w:themeColor="accent1"/>
          <w:right w:val="single" w:sz="8" w:space="0" w:color="0072C6" w:themeColor="accent1"/>
          <w:insideH w:val="nil"/>
          <w:insideV w:val="single" w:sz="8" w:space="0" w:color="0072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tblStylePr w:type="band1Vert">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shd w:val="clear" w:color="auto" w:fill="B1DDFF" w:themeFill="accent1" w:themeFillTint="3F"/>
      </w:tcPr>
    </w:tblStylePr>
    <w:tblStylePr w:type="band1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insideV w:val="single" w:sz="8" w:space="0" w:color="0072C6" w:themeColor="accent1"/>
        </w:tcBorders>
        <w:shd w:val="clear" w:color="auto" w:fill="B1DDFF" w:themeFill="accent1" w:themeFillTint="3F"/>
      </w:tcPr>
    </w:tblStylePr>
    <w:tblStylePr w:type="band2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insideV w:val="single" w:sz="8" w:space="0" w:color="0072C6" w:themeColor="accent1"/>
        </w:tcBorders>
      </w:tcPr>
    </w:tblStylePr>
  </w:style>
  <w:style w:type="table" w:styleId="LightList-Accent6">
    <w:name w:val="Light List Accent 6"/>
    <w:basedOn w:val="TableNormal"/>
    <w:uiPriority w:val="66"/>
    <w:rsid w:val="00297B2D"/>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paragraph" w:styleId="NoSpacing">
    <w:name w:val="No Spacing"/>
    <w:link w:val="NoSpacingChar"/>
    <w:uiPriority w:val="1"/>
    <w:qFormat/>
    <w:rsid w:val="005E7A17"/>
    <w:rPr>
      <w:rFonts w:asciiTheme="minorHAnsi" w:eastAsiaTheme="minorHAnsi" w:hAnsiTheme="minorHAnsi" w:cstheme="minorBidi"/>
      <w:sz w:val="22"/>
      <w:szCs w:val="22"/>
      <w:lang w:eastAsia="en-US"/>
    </w:rPr>
  </w:style>
  <w:style w:type="table" w:customStyle="1" w:styleId="TableGrid3">
    <w:name w:val="Table Grid3"/>
    <w:basedOn w:val="TableNormal"/>
    <w:next w:val="TableGrid"/>
    <w:uiPriority w:val="59"/>
    <w:rsid w:val="005E7A1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E7A17"/>
    <w:rPr>
      <w:rFonts w:asciiTheme="minorHAnsi" w:eastAsiaTheme="minorHAnsi" w:hAnsiTheme="minorHAnsi" w:cstheme="minorBidi"/>
      <w:sz w:val="22"/>
      <w:szCs w:val="22"/>
      <w:lang w:eastAsia="en-US"/>
    </w:rPr>
  </w:style>
  <w:style w:type="paragraph" w:customStyle="1" w:styleId="00-Normal-BA">
    <w:name w:val="00-Normal-BA"/>
    <w:rsid w:val="0058419C"/>
    <w:pPr>
      <w:jc w:val="both"/>
    </w:pPr>
    <w:rPr>
      <w:rFonts w:eastAsia="Times New Roman"/>
      <w:sz w:val="22"/>
      <w:szCs w:val="20"/>
      <w:lang w:eastAsia="en-US"/>
    </w:rPr>
  </w:style>
  <w:style w:type="paragraph" w:styleId="NormalWeb">
    <w:name w:val="Normal (Web)"/>
    <w:basedOn w:val="Normal"/>
    <w:uiPriority w:val="99"/>
    <w:semiHidden/>
    <w:unhideWhenUsed/>
    <w:rsid w:val="001C2A5F"/>
    <w:pPr>
      <w:spacing w:before="100" w:beforeAutospacing="1" w:after="100" w:afterAutospacing="1"/>
    </w:pPr>
    <w:rPr>
      <w:rFonts w:ascii="Times New Roman" w:eastAsiaTheme="minorEastAsia" w:hAnsi="Times New Roman"/>
      <w:bCs w:val="0"/>
      <w:szCs w:val="24"/>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72371B"/>
    <w:rPr>
      <w:rFonts w:eastAsia="Times New Roman"/>
      <w:bCs/>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469852">
      <w:bodyDiv w:val="1"/>
      <w:marLeft w:val="0"/>
      <w:marRight w:val="0"/>
      <w:marTop w:val="0"/>
      <w:marBottom w:val="0"/>
      <w:divBdr>
        <w:top w:val="none" w:sz="0" w:space="0" w:color="auto"/>
        <w:left w:val="none" w:sz="0" w:space="0" w:color="auto"/>
        <w:bottom w:val="none" w:sz="0" w:space="0" w:color="auto"/>
        <w:right w:val="none" w:sz="0" w:space="0" w:color="auto"/>
      </w:divBdr>
    </w:div>
    <w:div w:id="898125288">
      <w:bodyDiv w:val="1"/>
      <w:marLeft w:val="0"/>
      <w:marRight w:val="0"/>
      <w:marTop w:val="0"/>
      <w:marBottom w:val="0"/>
      <w:divBdr>
        <w:top w:val="none" w:sz="0" w:space="0" w:color="auto"/>
        <w:left w:val="none" w:sz="0" w:space="0" w:color="auto"/>
        <w:bottom w:val="none" w:sz="0" w:space="0" w:color="auto"/>
        <w:right w:val="none" w:sz="0" w:space="0" w:color="auto"/>
      </w:divBdr>
    </w:div>
    <w:div w:id="914974922">
      <w:bodyDiv w:val="1"/>
      <w:marLeft w:val="0"/>
      <w:marRight w:val="0"/>
      <w:marTop w:val="0"/>
      <w:marBottom w:val="0"/>
      <w:divBdr>
        <w:top w:val="none" w:sz="0" w:space="0" w:color="auto"/>
        <w:left w:val="none" w:sz="0" w:space="0" w:color="auto"/>
        <w:bottom w:val="none" w:sz="0" w:space="0" w:color="auto"/>
        <w:right w:val="none" w:sz="0" w:space="0" w:color="auto"/>
      </w:divBdr>
    </w:div>
    <w:div w:id="1663241978">
      <w:bodyDiv w:val="1"/>
      <w:marLeft w:val="0"/>
      <w:marRight w:val="0"/>
      <w:marTop w:val="0"/>
      <w:marBottom w:val="0"/>
      <w:divBdr>
        <w:top w:val="none" w:sz="0" w:space="0" w:color="auto"/>
        <w:left w:val="none" w:sz="0" w:space="0" w:color="auto"/>
        <w:bottom w:val="none" w:sz="0" w:space="0" w:color="auto"/>
        <w:right w:val="none" w:sz="0" w:space="0" w:color="auto"/>
      </w:divBdr>
    </w:div>
    <w:div w:id="1715806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07/relationships/diagramDrawing" Target="diagrams/drawing1.xml"/><Relationship Id="rId26" Type="http://schemas.openxmlformats.org/officeDocument/2006/relationships/hyperlink" Target="http://www.england.nhs.uk/ourwork/patientsafety/root-cause/" TargetMode="External"/><Relationship Id="rId39" Type="http://schemas.openxmlformats.org/officeDocument/2006/relationships/hyperlink" Target="http://www.legislation.gov.uk/ukdsi/2014/9780111117613/regulation/20" TargetMode="External"/><Relationship Id="rId3" Type="http://schemas.openxmlformats.org/officeDocument/2006/relationships/customXml" Target="../customXml/item3.xml"/><Relationship Id="rId21" Type="http://schemas.openxmlformats.org/officeDocument/2006/relationships/diagramData" Target="diagrams/data2.xml"/><Relationship Id="rId34" Type="http://schemas.openxmlformats.org/officeDocument/2006/relationships/hyperlink" Target="http://www.mhra.gov.uk/Safetyinformation/Reportingsafetyproblems/Blood/index.htm" TargetMode="External"/><Relationship Id="rId42"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diagramColors" Target="diagrams/colors1.xml"/><Relationship Id="rId25" Type="http://schemas.microsoft.com/office/2007/relationships/diagramDrawing" Target="diagrams/drawing2.xml"/><Relationship Id="rId33" Type="http://schemas.openxmlformats.org/officeDocument/2006/relationships/hyperlink" Target="http://www.professionalstandards.org.uk/regulators/statutory-regulators-directory" TargetMode="External"/><Relationship Id="rId38" Type="http://schemas.openxmlformats.org/officeDocument/2006/relationships/hyperlink" Target="http://www.nrls.npsa.nhs.uk/resources/collections/root-cause-analysi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www.cqc.org.uk/organisations-we-regulate/registered-services/notifications" TargetMode="External"/><Relationship Id="rId29" Type="http://schemas.openxmlformats.org/officeDocument/2006/relationships/hyperlink" Target="http://efm.hscic.gov.uk/" TargetMode="External"/><Relationship Id="rId41" Type="http://schemas.openxmlformats.org/officeDocument/2006/relationships/hyperlink" Target="http://en.wikipedia.org/wiki/Health_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diagramColors" Target="diagrams/colors2.xml"/><Relationship Id="rId32" Type="http://schemas.openxmlformats.org/officeDocument/2006/relationships/hyperlink" Target="http://www.nhsbsa.nhs.uk/4247.aspx" TargetMode="External"/><Relationship Id="rId37" Type="http://schemas.openxmlformats.org/officeDocument/2006/relationships/footer" Target="footer1.xml"/><Relationship Id="rId40" Type="http://schemas.openxmlformats.org/officeDocument/2006/relationships/hyperlink" Target="http://www.cqc.org.uk/sites/default/files/20141120_doc_fppf_final_nhs_provider_guidance_v1-0.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diagramQuickStyle" Target="diagrams/quickStyle2.xml"/><Relationship Id="rId28" Type="http://schemas.openxmlformats.org/officeDocument/2006/relationships/hyperlink" Target="http://www.nrls.npsa.nhs.uk/resources/collections/root-cause-analysis/"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nhsla.com/claims/Documents/Saying%20Sorry%20-%20Leaflet.pdf" TargetMode="External"/><Relationship Id="rId31" Type="http://schemas.openxmlformats.org/officeDocument/2006/relationships/hyperlink" Target="http://www.mhra.gov.uk/Safetyinformation/Reportingsafetyproblems/index.htm"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diagramLayout" Target="diagrams/layout2.xml"/><Relationship Id="rId27" Type="http://schemas.openxmlformats.org/officeDocument/2006/relationships/hyperlink" Target="http://www.nrls.npsa.nhs.uk/resources/collections/root-cause-analysis/" TargetMode="External"/><Relationship Id="rId30" Type="http://schemas.openxmlformats.org/officeDocument/2006/relationships/hyperlink" Target="http://www.hse.gov.uk/riddor/report.htm" TargetMode="External"/><Relationship Id="rId35" Type="http://schemas.openxmlformats.org/officeDocument/2006/relationships/hyperlink" Target="mailto:ENGLAND.LondonInvestigations@nhs.net" TargetMode="External"/><Relationship Id="rId43"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igt.hscic.gov.uk/KnowledgeBaseNew/HSCIC%20SIRI%20Reporting%20and%20Checklist%20Guidance.pdf" TargetMode="External"/><Relationship Id="rId3" Type="http://schemas.openxmlformats.org/officeDocument/2006/relationships/hyperlink" Target="http://www.equalityhumanrights.com/sites/default/files/documents/humanrights/hrr_article_2.pdf" TargetMode="External"/><Relationship Id="rId7" Type="http://schemas.openxmlformats.org/officeDocument/2006/relationships/hyperlink" Target="http://www.hse.gov.uk/pubns/wrdp1.pdf" TargetMode="External"/><Relationship Id="rId2" Type="http://schemas.openxmlformats.org/officeDocument/2006/relationships/hyperlink" Target="https://www.rcseng.ac.uk/policy/documents/CandourreviewFinal.pdf" TargetMode="External"/><Relationship Id="rId1" Type="http://schemas.openxmlformats.org/officeDocument/2006/relationships/hyperlink" Target="http://www.nrls.npsa.nhs.uk/resources/collections/seven-steps-to-patient-safety/" TargetMode="External"/><Relationship Id="rId6" Type="http://schemas.openxmlformats.org/officeDocument/2006/relationships/hyperlink" Target="https://report.nrls.nhs.uk/rcatoolkit/course/iindex.htm" TargetMode="External"/><Relationship Id="rId5" Type="http://schemas.openxmlformats.org/officeDocument/2006/relationships/hyperlink" Target="https://nhsengland.sharepoint.com/TeamCentre/Operations/_layouts/15/WopiFrame.aspx?sourcedoc=%7b1CAE2D20-BB4F-47A3-BFB6-3371A4D7AE6A%7d&amp;file=Principles%20for%20managing%20quality%20in%20specialised%20commissioning%20including%20RASCI%20template.docx&amp;action=default" TargetMode="External"/><Relationship Id="rId10" Type="http://schemas.openxmlformats.org/officeDocument/2006/relationships/hyperlink" Target="http://www.dh.gov.uk/en/Publicationsandstatistics/Publications/PublicationsPolicyAndGuidance/DH_4008486" TargetMode="External"/><Relationship Id="rId4" Type="http://schemas.openxmlformats.org/officeDocument/2006/relationships/hyperlink" Target="http://www.nrls.npsa.nhs.uk/resources/?EntryId45=83726" TargetMode="External"/><Relationship Id="rId9" Type="http://schemas.openxmlformats.org/officeDocument/2006/relationships/hyperlink" Target="https://www.gov.uk/government/uploads/system/uploads/attachment_data/file/209020/DHR_Guidance_refresh_HO_final_WEB.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areandsupportregs.dh.gov.uk/category/adult-safeguarding/" TargetMode="External"/><Relationship Id="rId13" Type="http://schemas.openxmlformats.org/officeDocument/2006/relationships/hyperlink" Target="https://report.nrls.nhs.uk/rcatoolkit/course/index.htm" TargetMode="External"/><Relationship Id="rId3" Type="http://schemas.openxmlformats.org/officeDocument/2006/relationships/hyperlink" Target="http://www.england.nhs.uk/ourwork/eprr/" TargetMode="External"/><Relationship Id="rId7" Type="http://schemas.openxmlformats.org/officeDocument/2006/relationships/hyperlink" Target="https://www.gov.uk/government/uploads/system/uploads/attachment_data/file/281368/Working_together_to_safeguard_children.pdf" TargetMode="External"/><Relationship Id="rId12" Type="http://schemas.openxmlformats.org/officeDocument/2006/relationships/hyperlink" Target="http://www.england.nhs.uk/ourwork/patientsafety/report-patient-safety/" TargetMode="External"/><Relationship Id="rId2" Type="http://schemas.openxmlformats.org/officeDocument/2006/relationships/hyperlink" Target="http://www.england.nhs.uk/ourwork/patientsafety/never-events/" TargetMode="External"/><Relationship Id="rId16" Type="http://schemas.openxmlformats.org/officeDocument/2006/relationships/hyperlink" Target="https://www.gov.uk/government/uploads/system/uploads/attachment_data/file/209020/DHR_Guidance_refresh_HO_final_WEB.pdf" TargetMode="External"/><Relationship Id="rId1" Type="http://schemas.openxmlformats.org/officeDocument/2006/relationships/hyperlink" Target="http://www.england.nhs.uk/wp-content/uploads/2014/03/quality-surv-grp-effective.pdf" TargetMode="External"/><Relationship Id="rId6" Type="http://schemas.openxmlformats.org/officeDocument/2006/relationships/hyperlink" Target="http://www.ppo.gov.uk/updated-guidance-for-clinical-reviews/" TargetMode="External"/><Relationship Id="rId11" Type="http://schemas.openxmlformats.org/officeDocument/2006/relationships/hyperlink" Target="http://www.england.nhs.uk/ourwork/part-rel/nqb/" TargetMode="External"/><Relationship Id="rId5" Type="http://schemas.openxmlformats.org/officeDocument/2006/relationships/hyperlink" Target="http://www.england.nhs.uk/ourwork/patientsafety/report-patient-safety/" TargetMode="External"/><Relationship Id="rId15" Type="http://schemas.openxmlformats.org/officeDocument/2006/relationships/hyperlink" Target="http://www.equalityhumanrights.com/sites/default/files/documents/humanrights/hrr_article_2.pdf" TargetMode="External"/><Relationship Id="rId10" Type="http://schemas.openxmlformats.org/officeDocument/2006/relationships/hyperlink" Target="http://www.england.nhs.uk/wp-content/uploads/2014/03/quality-surv-grp-effective.pdf" TargetMode="External"/><Relationship Id="rId4" Type="http://schemas.openxmlformats.org/officeDocument/2006/relationships/hyperlink" Target="http://www.nrls.npsa.nhs.uk/resources/?entryid45=75355" TargetMode="External"/><Relationship Id="rId9" Type="http://schemas.openxmlformats.org/officeDocument/2006/relationships/hyperlink" Target="http://www.cqc.org.uk/sites/default/files/20141120_doc_fppf_final_nhs_provider_guidance_v1-0.pdf" TargetMode="External"/><Relationship Id="rId14" Type="http://schemas.openxmlformats.org/officeDocument/2006/relationships/hyperlink" Target="http://www.professionalstandards.org.uk/regulators/statutory-regulators-direc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DE01CB-D798-4847-A0A8-DF90A60F68F8}" type="doc">
      <dgm:prSet loTypeId="urn:microsoft.com/office/officeart/2005/8/layout/radial1" loCatId="relationship" qsTypeId="urn:microsoft.com/office/officeart/2005/8/quickstyle/simple1" qsCatId="simple" csTypeId="urn:microsoft.com/office/officeart/2005/8/colors/colorful2" csCatId="colorful" phldr="1"/>
      <dgm:spPr/>
      <dgm:t>
        <a:bodyPr/>
        <a:lstStyle/>
        <a:p>
          <a:endParaRPr lang="en-GB"/>
        </a:p>
      </dgm:t>
    </dgm:pt>
    <dgm:pt modelId="{A789DF29-7C12-4396-A764-B53BD1409D80}">
      <dgm:prSet phldrT="[Text]" custT="1"/>
      <dgm:spPr/>
      <dgm:t>
        <a:bodyPr/>
        <a:lstStyle/>
        <a:p>
          <a:r>
            <a:rPr lang="en-GB" sz="1100">
              <a:latin typeface="Arial" panose="020B0604020202020204" pitchFamily="34" charset="0"/>
              <a:cs typeface="Arial" panose="020B0604020202020204" pitchFamily="34" charset="0"/>
            </a:rPr>
            <a:t>Prinicples of Serious Incident Management</a:t>
          </a:r>
        </a:p>
      </dgm:t>
    </dgm:pt>
    <dgm:pt modelId="{0244D98C-8B76-4003-9CBE-18CA0E56130E}" type="parTrans" cxnId="{AF24B8E5-FECE-47B7-8064-FE64A781BECE}">
      <dgm:prSet/>
      <dgm:spPr/>
      <dgm:t>
        <a:bodyPr/>
        <a:lstStyle/>
        <a:p>
          <a:endParaRPr lang="en-GB" sz="1100">
            <a:latin typeface="Arial" panose="020B0604020202020204" pitchFamily="34" charset="0"/>
            <a:cs typeface="Arial" panose="020B0604020202020204" pitchFamily="34" charset="0"/>
          </a:endParaRPr>
        </a:p>
      </dgm:t>
    </dgm:pt>
    <dgm:pt modelId="{6DE9C2F4-FC5E-4A11-B00A-C22D483942B3}" type="sibTrans" cxnId="{AF24B8E5-FECE-47B7-8064-FE64A781BECE}">
      <dgm:prSet/>
      <dgm:spPr/>
      <dgm:t>
        <a:bodyPr/>
        <a:lstStyle/>
        <a:p>
          <a:endParaRPr lang="en-GB" sz="1100">
            <a:latin typeface="Arial" panose="020B0604020202020204" pitchFamily="34" charset="0"/>
            <a:cs typeface="Arial" panose="020B0604020202020204" pitchFamily="34" charset="0"/>
          </a:endParaRPr>
        </a:p>
      </dgm:t>
    </dgm:pt>
    <dgm:pt modelId="{0B6E99D6-C140-49CE-8DD4-DF9FEAD6888D}">
      <dgm:prSet phldrT="[Text]" custT="1"/>
      <dgm:spPr/>
      <dgm:t>
        <a:bodyPr/>
        <a:lstStyle/>
        <a:p>
          <a:r>
            <a:rPr lang="en-GB" sz="1100">
              <a:latin typeface="Arial" panose="020B0604020202020204" pitchFamily="34" charset="0"/>
              <a:cs typeface="Arial" panose="020B0604020202020204" pitchFamily="34" charset="0"/>
            </a:rPr>
            <a:t>Collaborative</a:t>
          </a:r>
        </a:p>
      </dgm:t>
    </dgm:pt>
    <dgm:pt modelId="{36900AD7-58DD-4691-A659-EA76258DAEFE}" type="parTrans" cxnId="{8279A5AA-AA18-4C9B-9039-D68148DE938F}">
      <dgm:prSet custT="1"/>
      <dgm:spPr/>
      <dgm:t>
        <a:bodyPr/>
        <a:lstStyle/>
        <a:p>
          <a:endParaRPr lang="en-GB" sz="1100">
            <a:latin typeface="Arial" panose="020B0604020202020204" pitchFamily="34" charset="0"/>
            <a:cs typeface="Arial" panose="020B0604020202020204" pitchFamily="34" charset="0"/>
          </a:endParaRPr>
        </a:p>
      </dgm:t>
    </dgm:pt>
    <dgm:pt modelId="{8DA4D244-564D-4C4B-BD0D-B4EA253377AB}" type="sibTrans" cxnId="{8279A5AA-AA18-4C9B-9039-D68148DE938F}">
      <dgm:prSet/>
      <dgm:spPr/>
      <dgm:t>
        <a:bodyPr/>
        <a:lstStyle/>
        <a:p>
          <a:endParaRPr lang="en-GB" sz="1100">
            <a:latin typeface="Arial" panose="020B0604020202020204" pitchFamily="34" charset="0"/>
            <a:cs typeface="Arial" panose="020B0604020202020204" pitchFamily="34" charset="0"/>
          </a:endParaRPr>
        </a:p>
      </dgm:t>
    </dgm:pt>
    <dgm:pt modelId="{EA8FF8E0-EAF0-4306-B35D-C7C5159537BC}">
      <dgm:prSet phldrT="[Text]" custT="1"/>
      <dgm:spPr/>
      <dgm:t>
        <a:bodyPr/>
        <a:lstStyle/>
        <a:p>
          <a:r>
            <a:rPr lang="en-GB" sz="1100" baseline="0">
              <a:latin typeface="Arial" panose="020B0604020202020204" pitchFamily="34" charset="0"/>
              <a:cs typeface="Arial" panose="020B0604020202020204" pitchFamily="34" charset="0"/>
            </a:rPr>
            <a:t>Systems based</a:t>
          </a:r>
          <a:endParaRPr lang="en-GB" sz="1100">
            <a:latin typeface="Arial" panose="020B0604020202020204" pitchFamily="34" charset="0"/>
            <a:cs typeface="Arial" panose="020B0604020202020204" pitchFamily="34" charset="0"/>
          </a:endParaRPr>
        </a:p>
      </dgm:t>
    </dgm:pt>
    <dgm:pt modelId="{32D80831-0523-4872-9D4C-E8D5B903AD78}" type="parTrans" cxnId="{1A4F2A79-FCE4-4B24-AEA4-A7B611BCCD7D}">
      <dgm:prSet custT="1"/>
      <dgm:spPr/>
      <dgm:t>
        <a:bodyPr/>
        <a:lstStyle/>
        <a:p>
          <a:endParaRPr lang="en-GB" sz="1100">
            <a:latin typeface="Arial" panose="020B0604020202020204" pitchFamily="34" charset="0"/>
            <a:cs typeface="Arial" panose="020B0604020202020204" pitchFamily="34" charset="0"/>
          </a:endParaRPr>
        </a:p>
      </dgm:t>
    </dgm:pt>
    <dgm:pt modelId="{503DD848-9F72-4276-8088-3DB782B0B760}" type="sibTrans" cxnId="{1A4F2A79-FCE4-4B24-AEA4-A7B611BCCD7D}">
      <dgm:prSet/>
      <dgm:spPr/>
      <dgm:t>
        <a:bodyPr/>
        <a:lstStyle/>
        <a:p>
          <a:endParaRPr lang="en-GB" sz="1100">
            <a:latin typeface="Arial" panose="020B0604020202020204" pitchFamily="34" charset="0"/>
            <a:cs typeface="Arial" panose="020B0604020202020204" pitchFamily="34" charset="0"/>
          </a:endParaRPr>
        </a:p>
      </dgm:t>
    </dgm:pt>
    <dgm:pt modelId="{2E9BB3DA-A628-4DC1-83F4-7D776A787B4C}">
      <dgm:prSet phldrT="[Text]" custT="1"/>
      <dgm:spPr/>
      <dgm:t>
        <a:bodyPr/>
        <a:lstStyle/>
        <a:p>
          <a:r>
            <a:rPr lang="en-GB" sz="1100">
              <a:latin typeface="Arial" panose="020B0604020202020204" pitchFamily="34" charset="0"/>
              <a:cs typeface="Arial" panose="020B0604020202020204" pitchFamily="34" charset="0"/>
            </a:rPr>
            <a:t>Timely and responsive</a:t>
          </a:r>
        </a:p>
      </dgm:t>
    </dgm:pt>
    <dgm:pt modelId="{4BD506B8-75A9-4996-A7DB-5E9A28459742}" type="parTrans" cxnId="{01B00F0D-E34C-4FAE-9333-4A33B752C58D}">
      <dgm:prSet custT="1"/>
      <dgm:spPr/>
      <dgm:t>
        <a:bodyPr/>
        <a:lstStyle/>
        <a:p>
          <a:endParaRPr lang="en-GB" sz="1100">
            <a:latin typeface="Arial" panose="020B0604020202020204" pitchFamily="34" charset="0"/>
            <a:cs typeface="Arial" panose="020B0604020202020204" pitchFamily="34" charset="0"/>
          </a:endParaRPr>
        </a:p>
      </dgm:t>
    </dgm:pt>
    <dgm:pt modelId="{8013768D-4F35-40A4-BC5E-A0021EABDBD1}" type="sibTrans" cxnId="{01B00F0D-E34C-4FAE-9333-4A33B752C58D}">
      <dgm:prSet/>
      <dgm:spPr/>
      <dgm:t>
        <a:bodyPr/>
        <a:lstStyle/>
        <a:p>
          <a:endParaRPr lang="en-GB" sz="1100">
            <a:latin typeface="Arial" panose="020B0604020202020204" pitchFamily="34" charset="0"/>
            <a:cs typeface="Arial" panose="020B0604020202020204" pitchFamily="34" charset="0"/>
          </a:endParaRPr>
        </a:p>
      </dgm:t>
    </dgm:pt>
    <dgm:pt modelId="{36FBA8D8-380B-480B-B219-7184DDE5BF49}">
      <dgm:prSet phldrT="[Text]" custT="1"/>
      <dgm:spPr/>
      <dgm:t>
        <a:bodyPr/>
        <a:lstStyle/>
        <a:p>
          <a:r>
            <a:rPr lang="en-GB" sz="1100">
              <a:latin typeface="Arial" panose="020B0604020202020204" pitchFamily="34" charset="0"/>
              <a:cs typeface="Arial" panose="020B0604020202020204" pitchFamily="34" charset="0"/>
            </a:rPr>
            <a:t>Open and transparent</a:t>
          </a:r>
        </a:p>
      </dgm:t>
    </dgm:pt>
    <dgm:pt modelId="{5B536F06-58C3-4E32-A2F5-8A04BE934893}" type="parTrans" cxnId="{D8CEACAB-DB94-4BF8-BDF7-1BA39282FEF1}">
      <dgm:prSet custT="1"/>
      <dgm:spPr/>
      <dgm:t>
        <a:bodyPr/>
        <a:lstStyle/>
        <a:p>
          <a:endParaRPr lang="en-GB" sz="1100">
            <a:latin typeface="Arial" panose="020B0604020202020204" pitchFamily="34" charset="0"/>
            <a:cs typeface="Arial" panose="020B0604020202020204" pitchFamily="34" charset="0"/>
          </a:endParaRPr>
        </a:p>
      </dgm:t>
    </dgm:pt>
    <dgm:pt modelId="{F497B5FC-68BA-4712-98AD-18B1F2492049}" type="sibTrans" cxnId="{D8CEACAB-DB94-4BF8-BDF7-1BA39282FEF1}">
      <dgm:prSet/>
      <dgm:spPr/>
      <dgm:t>
        <a:bodyPr/>
        <a:lstStyle/>
        <a:p>
          <a:endParaRPr lang="en-GB" sz="1100">
            <a:latin typeface="Arial" panose="020B0604020202020204" pitchFamily="34" charset="0"/>
            <a:cs typeface="Arial" panose="020B0604020202020204" pitchFamily="34" charset="0"/>
          </a:endParaRPr>
        </a:p>
      </dgm:t>
    </dgm:pt>
    <dgm:pt modelId="{73DF7379-5675-4728-B03C-4F9926860A89}">
      <dgm:prSet custT="1"/>
      <dgm:spPr/>
      <dgm:t>
        <a:bodyPr/>
        <a:lstStyle/>
        <a:p>
          <a:r>
            <a:rPr lang="en-GB" sz="1100">
              <a:latin typeface="Arial" panose="020B0604020202020204" pitchFamily="34" charset="0"/>
              <a:cs typeface="Arial" panose="020B0604020202020204" pitchFamily="34" charset="0"/>
            </a:rPr>
            <a:t>Preventative</a:t>
          </a:r>
        </a:p>
      </dgm:t>
    </dgm:pt>
    <dgm:pt modelId="{E0F6FF92-DC9D-418F-B6B2-F53BD110419E}" type="parTrans" cxnId="{03EBF7C3-AE9A-49BD-BB9E-37110556EB77}">
      <dgm:prSet custT="1"/>
      <dgm:spPr/>
      <dgm:t>
        <a:bodyPr/>
        <a:lstStyle/>
        <a:p>
          <a:endParaRPr lang="en-GB" sz="1100">
            <a:latin typeface="Arial" panose="020B0604020202020204" pitchFamily="34" charset="0"/>
            <a:cs typeface="Arial" panose="020B0604020202020204" pitchFamily="34" charset="0"/>
          </a:endParaRPr>
        </a:p>
      </dgm:t>
    </dgm:pt>
    <dgm:pt modelId="{EC4D29CF-AC00-44C2-84D4-2F1736E6595A}" type="sibTrans" cxnId="{03EBF7C3-AE9A-49BD-BB9E-37110556EB77}">
      <dgm:prSet/>
      <dgm:spPr/>
      <dgm:t>
        <a:bodyPr/>
        <a:lstStyle/>
        <a:p>
          <a:endParaRPr lang="en-GB" sz="1100">
            <a:latin typeface="Arial" panose="020B0604020202020204" pitchFamily="34" charset="0"/>
            <a:cs typeface="Arial" panose="020B0604020202020204" pitchFamily="34" charset="0"/>
          </a:endParaRPr>
        </a:p>
      </dgm:t>
    </dgm:pt>
    <dgm:pt modelId="{3F7554C7-5E40-4BA2-BFCA-51AD8952BEA9}">
      <dgm:prSet custT="1"/>
      <dgm:spPr/>
      <dgm:t>
        <a:bodyPr/>
        <a:lstStyle/>
        <a:p>
          <a:r>
            <a:rPr lang="en-GB" sz="1050">
              <a:latin typeface="Arial" panose="020B0604020202020204" pitchFamily="34" charset="0"/>
              <a:cs typeface="Arial" panose="020B0604020202020204" pitchFamily="34" charset="0"/>
            </a:rPr>
            <a:t>Proportionate</a:t>
          </a:r>
        </a:p>
      </dgm:t>
    </dgm:pt>
    <dgm:pt modelId="{DB4FAB04-5531-4DBA-A932-DF713BF3D753}" type="sibTrans" cxnId="{663F859B-F521-4636-B10B-5E849A11EC75}">
      <dgm:prSet/>
      <dgm:spPr/>
      <dgm:t>
        <a:bodyPr/>
        <a:lstStyle/>
        <a:p>
          <a:endParaRPr lang="en-GB" sz="1100">
            <a:latin typeface="Arial" panose="020B0604020202020204" pitchFamily="34" charset="0"/>
            <a:cs typeface="Arial" panose="020B0604020202020204" pitchFamily="34" charset="0"/>
          </a:endParaRPr>
        </a:p>
      </dgm:t>
    </dgm:pt>
    <dgm:pt modelId="{183BFB4E-D1B0-4872-96D2-F15CE6EE53D9}" type="parTrans" cxnId="{663F859B-F521-4636-B10B-5E849A11EC75}">
      <dgm:prSet custT="1"/>
      <dgm:spPr/>
      <dgm:t>
        <a:bodyPr/>
        <a:lstStyle/>
        <a:p>
          <a:endParaRPr lang="en-GB" sz="1100">
            <a:latin typeface="Arial" panose="020B0604020202020204" pitchFamily="34" charset="0"/>
            <a:cs typeface="Arial" panose="020B0604020202020204" pitchFamily="34" charset="0"/>
          </a:endParaRPr>
        </a:p>
      </dgm:t>
    </dgm:pt>
    <dgm:pt modelId="{D80D94E0-CD8F-4915-B4CA-F494ED35DAC7}">
      <dgm:prSet custT="1"/>
      <dgm:spPr/>
      <dgm:t>
        <a:bodyPr/>
        <a:lstStyle/>
        <a:p>
          <a:r>
            <a:rPr lang="en-GB" sz="1100">
              <a:latin typeface="Arial" panose="020B0604020202020204" pitchFamily="34" charset="0"/>
              <a:cs typeface="Arial" panose="020B0604020202020204" pitchFamily="34" charset="0"/>
            </a:rPr>
            <a:t>Objective</a:t>
          </a:r>
        </a:p>
      </dgm:t>
    </dgm:pt>
    <dgm:pt modelId="{4E5FE9E6-E453-4398-BEFE-11139F975B4E}" type="parTrans" cxnId="{BB67B546-F58B-4287-9A70-63924878F82E}">
      <dgm:prSet custT="1"/>
      <dgm:spPr/>
      <dgm:t>
        <a:bodyPr/>
        <a:lstStyle/>
        <a:p>
          <a:endParaRPr lang="en-GB" sz="1100">
            <a:latin typeface="Arial" panose="020B0604020202020204" pitchFamily="34" charset="0"/>
            <a:cs typeface="Arial" panose="020B0604020202020204" pitchFamily="34" charset="0"/>
          </a:endParaRPr>
        </a:p>
      </dgm:t>
    </dgm:pt>
    <dgm:pt modelId="{A326D8A1-2EA0-434E-8B51-303E7E656822}" type="sibTrans" cxnId="{BB67B546-F58B-4287-9A70-63924878F82E}">
      <dgm:prSet/>
      <dgm:spPr/>
      <dgm:t>
        <a:bodyPr/>
        <a:lstStyle/>
        <a:p>
          <a:endParaRPr lang="en-GB" sz="1100">
            <a:latin typeface="Arial" panose="020B0604020202020204" pitchFamily="34" charset="0"/>
            <a:cs typeface="Arial" panose="020B0604020202020204" pitchFamily="34" charset="0"/>
          </a:endParaRPr>
        </a:p>
      </dgm:t>
    </dgm:pt>
    <dgm:pt modelId="{7C2F7F2C-0FF3-4603-8361-2B968F54614D}" type="pres">
      <dgm:prSet presAssocID="{6BDE01CB-D798-4847-A0A8-DF90A60F68F8}" presName="cycle" presStyleCnt="0">
        <dgm:presLayoutVars>
          <dgm:chMax val="1"/>
          <dgm:dir val="rev"/>
          <dgm:animLvl val="ctr"/>
          <dgm:resizeHandles val="exact"/>
        </dgm:presLayoutVars>
      </dgm:prSet>
      <dgm:spPr/>
      <dgm:t>
        <a:bodyPr/>
        <a:lstStyle/>
        <a:p>
          <a:endParaRPr lang="en-GB"/>
        </a:p>
      </dgm:t>
    </dgm:pt>
    <dgm:pt modelId="{2AAB4EBB-3095-417E-9C9E-3F296CACCE20}" type="pres">
      <dgm:prSet presAssocID="{A789DF29-7C12-4396-A764-B53BD1409D80}" presName="centerShape" presStyleLbl="node0" presStyleIdx="0" presStyleCnt="1"/>
      <dgm:spPr/>
      <dgm:t>
        <a:bodyPr/>
        <a:lstStyle/>
        <a:p>
          <a:endParaRPr lang="en-GB"/>
        </a:p>
      </dgm:t>
    </dgm:pt>
    <dgm:pt modelId="{E6A144B6-5DD4-4CB9-99ED-7E5FDE3B85EE}" type="pres">
      <dgm:prSet presAssocID="{5B536F06-58C3-4E32-A2F5-8A04BE934893}" presName="Name9" presStyleLbl="parChTrans1D2" presStyleIdx="0" presStyleCnt="7"/>
      <dgm:spPr/>
      <dgm:t>
        <a:bodyPr/>
        <a:lstStyle/>
        <a:p>
          <a:endParaRPr lang="en-GB"/>
        </a:p>
      </dgm:t>
    </dgm:pt>
    <dgm:pt modelId="{6499B4F2-912E-4F4E-8104-6045D0E80D1B}" type="pres">
      <dgm:prSet presAssocID="{5B536F06-58C3-4E32-A2F5-8A04BE934893}" presName="connTx" presStyleLbl="parChTrans1D2" presStyleIdx="0" presStyleCnt="7"/>
      <dgm:spPr/>
      <dgm:t>
        <a:bodyPr/>
        <a:lstStyle/>
        <a:p>
          <a:endParaRPr lang="en-GB"/>
        </a:p>
      </dgm:t>
    </dgm:pt>
    <dgm:pt modelId="{F5DF087E-B715-49B1-9329-DEB8A4479DB3}" type="pres">
      <dgm:prSet presAssocID="{36FBA8D8-380B-480B-B219-7184DDE5BF49}" presName="node" presStyleLbl="node1" presStyleIdx="0" presStyleCnt="7">
        <dgm:presLayoutVars>
          <dgm:bulletEnabled val="1"/>
        </dgm:presLayoutVars>
      </dgm:prSet>
      <dgm:spPr/>
      <dgm:t>
        <a:bodyPr/>
        <a:lstStyle/>
        <a:p>
          <a:endParaRPr lang="en-GB"/>
        </a:p>
      </dgm:t>
    </dgm:pt>
    <dgm:pt modelId="{9EA20A18-EEF1-445B-9643-0520D9A9C47F}" type="pres">
      <dgm:prSet presAssocID="{36900AD7-58DD-4691-A659-EA76258DAEFE}" presName="Name9" presStyleLbl="parChTrans1D2" presStyleIdx="1" presStyleCnt="7"/>
      <dgm:spPr/>
      <dgm:t>
        <a:bodyPr/>
        <a:lstStyle/>
        <a:p>
          <a:endParaRPr lang="en-GB"/>
        </a:p>
      </dgm:t>
    </dgm:pt>
    <dgm:pt modelId="{000644C2-05B5-4BB5-832D-04413D848D55}" type="pres">
      <dgm:prSet presAssocID="{36900AD7-58DD-4691-A659-EA76258DAEFE}" presName="connTx" presStyleLbl="parChTrans1D2" presStyleIdx="1" presStyleCnt="7"/>
      <dgm:spPr/>
      <dgm:t>
        <a:bodyPr/>
        <a:lstStyle/>
        <a:p>
          <a:endParaRPr lang="en-GB"/>
        </a:p>
      </dgm:t>
    </dgm:pt>
    <dgm:pt modelId="{FD502F16-3F1A-44D0-B157-BC92A33E0048}" type="pres">
      <dgm:prSet presAssocID="{0B6E99D6-C140-49CE-8DD4-DF9FEAD6888D}" presName="node" presStyleLbl="node1" presStyleIdx="1" presStyleCnt="7">
        <dgm:presLayoutVars>
          <dgm:bulletEnabled val="1"/>
        </dgm:presLayoutVars>
      </dgm:prSet>
      <dgm:spPr/>
      <dgm:t>
        <a:bodyPr/>
        <a:lstStyle/>
        <a:p>
          <a:endParaRPr lang="en-GB"/>
        </a:p>
      </dgm:t>
    </dgm:pt>
    <dgm:pt modelId="{4CAFC89B-F649-4599-8DE8-7C4F8F84790D}" type="pres">
      <dgm:prSet presAssocID="{183BFB4E-D1B0-4872-96D2-F15CE6EE53D9}" presName="Name9" presStyleLbl="parChTrans1D2" presStyleIdx="2" presStyleCnt="7"/>
      <dgm:spPr/>
      <dgm:t>
        <a:bodyPr/>
        <a:lstStyle/>
        <a:p>
          <a:endParaRPr lang="en-GB"/>
        </a:p>
      </dgm:t>
    </dgm:pt>
    <dgm:pt modelId="{AC5C3814-0548-47F4-895D-02E820895914}" type="pres">
      <dgm:prSet presAssocID="{183BFB4E-D1B0-4872-96D2-F15CE6EE53D9}" presName="connTx" presStyleLbl="parChTrans1D2" presStyleIdx="2" presStyleCnt="7"/>
      <dgm:spPr/>
      <dgm:t>
        <a:bodyPr/>
        <a:lstStyle/>
        <a:p>
          <a:endParaRPr lang="en-GB"/>
        </a:p>
      </dgm:t>
    </dgm:pt>
    <dgm:pt modelId="{231F88CF-75F8-401A-8BEC-A9AECDF82A36}" type="pres">
      <dgm:prSet presAssocID="{3F7554C7-5E40-4BA2-BFCA-51AD8952BEA9}" presName="node" presStyleLbl="node1" presStyleIdx="2" presStyleCnt="7">
        <dgm:presLayoutVars>
          <dgm:bulletEnabled val="1"/>
        </dgm:presLayoutVars>
      </dgm:prSet>
      <dgm:spPr/>
      <dgm:t>
        <a:bodyPr/>
        <a:lstStyle/>
        <a:p>
          <a:endParaRPr lang="en-GB"/>
        </a:p>
      </dgm:t>
    </dgm:pt>
    <dgm:pt modelId="{F2BDD47E-545E-41CB-A2AD-690547F56FFE}" type="pres">
      <dgm:prSet presAssocID="{32D80831-0523-4872-9D4C-E8D5B903AD78}" presName="Name9" presStyleLbl="parChTrans1D2" presStyleIdx="3" presStyleCnt="7"/>
      <dgm:spPr/>
      <dgm:t>
        <a:bodyPr/>
        <a:lstStyle/>
        <a:p>
          <a:endParaRPr lang="en-GB"/>
        </a:p>
      </dgm:t>
    </dgm:pt>
    <dgm:pt modelId="{91AFB3DE-9FA7-4FAD-9E4B-D65A3CAE91EC}" type="pres">
      <dgm:prSet presAssocID="{32D80831-0523-4872-9D4C-E8D5B903AD78}" presName="connTx" presStyleLbl="parChTrans1D2" presStyleIdx="3" presStyleCnt="7"/>
      <dgm:spPr/>
      <dgm:t>
        <a:bodyPr/>
        <a:lstStyle/>
        <a:p>
          <a:endParaRPr lang="en-GB"/>
        </a:p>
      </dgm:t>
    </dgm:pt>
    <dgm:pt modelId="{3C68FCA0-A169-4853-8E87-2F7A89F0C719}" type="pres">
      <dgm:prSet presAssocID="{EA8FF8E0-EAF0-4306-B35D-C7C5159537BC}" presName="node" presStyleLbl="node1" presStyleIdx="3" presStyleCnt="7">
        <dgm:presLayoutVars>
          <dgm:bulletEnabled val="1"/>
        </dgm:presLayoutVars>
      </dgm:prSet>
      <dgm:spPr/>
      <dgm:t>
        <a:bodyPr/>
        <a:lstStyle/>
        <a:p>
          <a:endParaRPr lang="en-GB"/>
        </a:p>
      </dgm:t>
    </dgm:pt>
    <dgm:pt modelId="{4CFFD1EA-6CDB-4E07-BD96-4777E7D362AE}" type="pres">
      <dgm:prSet presAssocID="{4BD506B8-75A9-4996-A7DB-5E9A28459742}" presName="Name9" presStyleLbl="parChTrans1D2" presStyleIdx="4" presStyleCnt="7"/>
      <dgm:spPr/>
      <dgm:t>
        <a:bodyPr/>
        <a:lstStyle/>
        <a:p>
          <a:endParaRPr lang="en-GB"/>
        </a:p>
      </dgm:t>
    </dgm:pt>
    <dgm:pt modelId="{D6A580C7-0050-4899-83AD-DC07A51B3161}" type="pres">
      <dgm:prSet presAssocID="{4BD506B8-75A9-4996-A7DB-5E9A28459742}" presName="connTx" presStyleLbl="parChTrans1D2" presStyleIdx="4" presStyleCnt="7"/>
      <dgm:spPr/>
      <dgm:t>
        <a:bodyPr/>
        <a:lstStyle/>
        <a:p>
          <a:endParaRPr lang="en-GB"/>
        </a:p>
      </dgm:t>
    </dgm:pt>
    <dgm:pt modelId="{3AD42A2C-A5FB-4870-A68C-B6E46717AEE4}" type="pres">
      <dgm:prSet presAssocID="{2E9BB3DA-A628-4DC1-83F4-7D776A787B4C}" presName="node" presStyleLbl="node1" presStyleIdx="4" presStyleCnt="7">
        <dgm:presLayoutVars>
          <dgm:bulletEnabled val="1"/>
        </dgm:presLayoutVars>
      </dgm:prSet>
      <dgm:spPr/>
      <dgm:t>
        <a:bodyPr/>
        <a:lstStyle/>
        <a:p>
          <a:endParaRPr lang="en-GB"/>
        </a:p>
      </dgm:t>
    </dgm:pt>
    <dgm:pt modelId="{4F3733BB-D1B9-4799-AA78-A36BC5626430}" type="pres">
      <dgm:prSet presAssocID="{4E5FE9E6-E453-4398-BEFE-11139F975B4E}" presName="Name9" presStyleLbl="parChTrans1D2" presStyleIdx="5" presStyleCnt="7"/>
      <dgm:spPr/>
      <dgm:t>
        <a:bodyPr/>
        <a:lstStyle/>
        <a:p>
          <a:endParaRPr lang="en-GB"/>
        </a:p>
      </dgm:t>
    </dgm:pt>
    <dgm:pt modelId="{397A9910-8DC4-4AA1-9870-409B70346C70}" type="pres">
      <dgm:prSet presAssocID="{4E5FE9E6-E453-4398-BEFE-11139F975B4E}" presName="connTx" presStyleLbl="parChTrans1D2" presStyleIdx="5" presStyleCnt="7"/>
      <dgm:spPr/>
      <dgm:t>
        <a:bodyPr/>
        <a:lstStyle/>
        <a:p>
          <a:endParaRPr lang="en-GB"/>
        </a:p>
      </dgm:t>
    </dgm:pt>
    <dgm:pt modelId="{7C6AE6CA-A25B-427F-957B-C1C4E874E1F4}" type="pres">
      <dgm:prSet presAssocID="{D80D94E0-CD8F-4915-B4CA-F494ED35DAC7}" presName="node" presStyleLbl="node1" presStyleIdx="5" presStyleCnt="7">
        <dgm:presLayoutVars>
          <dgm:bulletEnabled val="1"/>
        </dgm:presLayoutVars>
      </dgm:prSet>
      <dgm:spPr/>
      <dgm:t>
        <a:bodyPr/>
        <a:lstStyle/>
        <a:p>
          <a:endParaRPr lang="en-GB"/>
        </a:p>
      </dgm:t>
    </dgm:pt>
    <dgm:pt modelId="{45B1AEDB-DCAC-4A76-BE6C-05002399CB05}" type="pres">
      <dgm:prSet presAssocID="{E0F6FF92-DC9D-418F-B6B2-F53BD110419E}" presName="Name9" presStyleLbl="parChTrans1D2" presStyleIdx="6" presStyleCnt="7"/>
      <dgm:spPr/>
      <dgm:t>
        <a:bodyPr/>
        <a:lstStyle/>
        <a:p>
          <a:endParaRPr lang="en-GB"/>
        </a:p>
      </dgm:t>
    </dgm:pt>
    <dgm:pt modelId="{F655745D-583A-4FD6-A389-043E066BCEC4}" type="pres">
      <dgm:prSet presAssocID="{E0F6FF92-DC9D-418F-B6B2-F53BD110419E}" presName="connTx" presStyleLbl="parChTrans1D2" presStyleIdx="6" presStyleCnt="7"/>
      <dgm:spPr/>
      <dgm:t>
        <a:bodyPr/>
        <a:lstStyle/>
        <a:p>
          <a:endParaRPr lang="en-GB"/>
        </a:p>
      </dgm:t>
    </dgm:pt>
    <dgm:pt modelId="{8D63F4F5-E980-4BE3-9974-2290E04BF6F3}" type="pres">
      <dgm:prSet presAssocID="{73DF7379-5675-4728-B03C-4F9926860A89}" presName="node" presStyleLbl="node1" presStyleIdx="6" presStyleCnt="7">
        <dgm:presLayoutVars>
          <dgm:bulletEnabled val="1"/>
        </dgm:presLayoutVars>
      </dgm:prSet>
      <dgm:spPr/>
      <dgm:t>
        <a:bodyPr/>
        <a:lstStyle/>
        <a:p>
          <a:endParaRPr lang="en-GB"/>
        </a:p>
      </dgm:t>
    </dgm:pt>
  </dgm:ptLst>
  <dgm:cxnLst>
    <dgm:cxn modelId="{B9B88B45-AD0A-493B-9083-D8443DE3594B}" type="presOf" srcId="{36FBA8D8-380B-480B-B219-7184DDE5BF49}" destId="{F5DF087E-B715-49B1-9329-DEB8A4479DB3}" srcOrd="0" destOrd="0" presId="urn:microsoft.com/office/officeart/2005/8/layout/radial1"/>
    <dgm:cxn modelId="{6AD0CB7C-EE2E-48BA-9FAA-5CA7859B9469}" type="presOf" srcId="{E0F6FF92-DC9D-418F-B6B2-F53BD110419E}" destId="{F655745D-583A-4FD6-A389-043E066BCEC4}" srcOrd="1" destOrd="0" presId="urn:microsoft.com/office/officeart/2005/8/layout/radial1"/>
    <dgm:cxn modelId="{A2FAA5E8-CEAE-4E3E-86BB-E026746557B3}" type="presOf" srcId="{5B536F06-58C3-4E32-A2F5-8A04BE934893}" destId="{E6A144B6-5DD4-4CB9-99ED-7E5FDE3B85EE}" srcOrd="0" destOrd="0" presId="urn:microsoft.com/office/officeart/2005/8/layout/radial1"/>
    <dgm:cxn modelId="{AF24B8E5-FECE-47B7-8064-FE64A781BECE}" srcId="{6BDE01CB-D798-4847-A0A8-DF90A60F68F8}" destId="{A789DF29-7C12-4396-A764-B53BD1409D80}" srcOrd="0" destOrd="0" parTransId="{0244D98C-8B76-4003-9CBE-18CA0E56130E}" sibTransId="{6DE9C2F4-FC5E-4A11-B00A-C22D483942B3}"/>
    <dgm:cxn modelId="{BB1CE102-455A-482F-AF12-B23C0090A90C}" type="presOf" srcId="{EA8FF8E0-EAF0-4306-B35D-C7C5159537BC}" destId="{3C68FCA0-A169-4853-8E87-2F7A89F0C719}" srcOrd="0" destOrd="0" presId="urn:microsoft.com/office/officeart/2005/8/layout/radial1"/>
    <dgm:cxn modelId="{355BB0B2-611A-4354-A68E-65ED535B2137}" type="presOf" srcId="{E0F6FF92-DC9D-418F-B6B2-F53BD110419E}" destId="{45B1AEDB-DCAC-4A76-BE6C-05002399CB05}" srcOrd="0" destOrd="0" presId="urn:microsoft.com/office/officeart/2005/8/layout/radial1"/>
    <dgm:cxn modelId="{A1F9425F-31AA-4AD7-BEC5-4CA8B1A75264}" type="presOf" srcId="{36900AD7-58DD-4691-A659-EA76258DAEFE}" destId="{000644C2-05B5-4BB5-832D-04413D848D55}" srcOrd="1" destOrd="0" presId="urn:microsoft.com/office/officeart/2005/8/layout/radial1"/>
    <dgm:cxn modelId="{DFCF34D2-A063-4E39-9D54-058F04F1C55C}" type="presOf" srcId="{32D80831-0523-4872-9D4C-E8D5B903AD78}" destId="{F2BDD47E-545E-41CB-A2AD-690547F56FFE}" srcOrd="0" destOrd="0" presId="urn:microsoft.com/office/officeart/2005/8/layout/radial1"/>
    <dgm:cxn modelId="{841C324E-124A-4928-91D1-63CBAC7AAB23}" type="presOf" srcId="{3F7554C7-5E40-4BA2-BFCA-51AD8952BEA9}" destId="{231F88CF-75F8-401A-8BEC-A9AECDF82A36}" srcOrd="0" destOrd="0" presId="urn:microsoft.com/office/officeart/2005/8/layout/radial1"/>
    <dgm:cxn modelId="{39D5C951-67A5-4F82-8C98-4F1E891AC5DA}" type="presOf" srcId="{4BD506B8-75A9-4996-A7DB-5E9A28459742}" destId="{D6A580C7-0050-4899-83AD-DC07A51B3161}" srcOrd="1" destOrd="0" presId="urn:microsoft.com/office/officeart/2005/8/layout/radial1"/>
    <dgm:cxn modelId="{6E433151-90D2-4068-B2C2-293F65AF6586}" type="presOf" srcId="{4BD506B8-75A9-4996-A7DB-5E9A28459742}" destId="{4CFFD1EA-6CDB-4E07-BD96-4777E7D362AE}" srcOrd="0" destOrd="0" presId="urn:microsoft.com/office/officeart/2005/8/layout/radial1"/>
    <dgm:cxn modelId="{01B00F0D-E34C-4FAE-9333-4A33B752C58D}" srcId="{A789DF29-7C12-4396-A764-B53BD1409D80}" destId="{2E9BB3DA-A628-4DC1-83F4-7D776A787B4C}" srcOrd="4" destOrd="0" parTransId="{4BD506B8-75A9-4996-A7DB-5E9A28459742}" sibTransId="{8013768D-4F35-40A4-BC5E-A0021EABDBD1}"/>
    <dgm:cxn modelId="{8279A5AA-AA18-4C9B-9039-D68148DE938F}" srcId="{A789DF29-7C12-4396-A764-B53BD1409D80}" destId="{0B6E99D6-C140-49CE-8DD4-DF9FEAD6888D}" srcOrd="1" destOrd="0" parTransId="{36900AD7-58DD-4691-A659-EA76258DAEFE}" sibTransId="{8DA4D244-564D-4C4B-BD0D-B4EA253377AB}"/>
    <dgm:cxn modelId="{AB8BBC9F-20BD-40CC-98B9-6440D391CDF7}" type="presOf" srcId="{4E5FE9E6-E453-4398-BEFE-11139F975B4E}" destId="{397A9910-8DC4-4AA1-9870-409B70346C70}" srcOrd="1" destOrd="0" presId="urn:microsoft.com/office/officeart/2005/8/layout/radial1"/>
    <dgm:cxn modelId="{68201DC7-6F0A-4C2E-923D-EE0D8C315E20}" type="presOf" srcId="{183BFB4E-D1B0-4872-96D2-F15CE6EE53D9}" destId="{AC5C3814-0548-47F4-895D-02E820895914}" srcOrd="1" destOrd="0" presId="urn:microsoft.com/office/officeart/2005/8/layout/radial1"/>
    <dgm:cxn modelId="{9A6C838D-4DFB-4AEE-A77A-1BD6030B6F87}" type="presOf" srcId="{A789DF29-7C12-4396-A764-B53BD1409D80}" destId="{2AAB4EBB-3095-417E-9C9E-3F296CACCE20}" srcOrd="0" destOrd="0" presId="urn:microsoft.com/office/officeart/2005/8/layout/radial1"/>
    <dgm:cxn modelId="{BB67B546-F58B-4287-9A70-63924878F82E}" srcId="{A789DF29-7C12-4396-A764-B53BD1409D80}" destId="{D80D94E0-CD8F-4915-B4CA-F494ED35DAC7}" srcOrd="5" destOrd="0" parTransId="{4E5FE9E6-E453-4398-BEFE-11139F975B4E}" sibTransId="{A326D8A1-2EA0-434E-8B51-303E7E656822}"/>
    <dgm:cxn modelId="{1A4F2A79-FCE4-4B24-AEA4-A7B611BCCD7D}" srcId="{A789DF29-7C12-4396-A764-B53BD1409D80}" destId="{EA8FF8E0-EAF0-4306-B35D-C7C5159537BC}" srcOrd="3" destOrd="0" parTransId="{32D80831-0523-4872-9D4C-E8D5B903AD78}" sibTransId="{503DD848-9F72-4276-8088-3DB782B0B760}"/>
    <dgm:cxn modelId="{03EBF7C3-AE9A-49BD-BB9E-37110556EB77}" srcId="{A789DF29-7C12-4396-A764-B53BD1409D80}" destId="{73DF7379-5675-4728-B03C-4F9926860A89}" srcOrd="6" destOrd="0" parTransId="{E0F6FF92-DC9D-418F-B6B2-F53BD110419E}" sibTransId="{EC4D29CF-AC00-44C2-84D4-2F1736E6595A}"/>
    <dgm:cxn modelId="{663F859B-F521-4636-B10B-5E849A11EC75}" srcId="{A789DF29-7C12-4396-A764-B53BD1409D80}" destId="{3F7554C7-5E40-4BA2-BFCA-51AD8952BEA9}" srcOrd="2" destOrd="0" parTransId="{183BFB4E-D1B0-4872-96D2-F15CE6EE53D9}" sibTransId="{DB4FAB04-5531-4DBA-A932-DF713BF3D753}"/>
    <dgm:cxn modelId="{444B8AAD-6322-4770-A8E1-786B1BD7A829}" type="presOf" srcId="{183BFB4E-D1B0-4872-96D2-F15CE6EE53D9}" destId="{4CAFC89B-F649-4599-8DE8-7C4F8F84790D}" srcOrd="0" destOrd="0" presId="urn:microsoft.com/office/officeart/2005/8/layout/radial1"/>
    <dgm:cxn modelId="{D8CEACAB-DB94-4BF8-BDF7-1BA39282FEF1}" srcId="{A789DF29-7C12-4396-A764-B53BD1409D80}" destId="{36FBA8D8-380B-480B-B219-7184DDE5BF49}" srcOrd="0" destOrd="0" parTransId="{5B536F06-58C3-4E32-A2F5-8A04BE934893}" sibTransId="{F497B5FC-68BA-4712-98AD-18B1F2492049}"/>
    <dgm:cxn modelId="{3D04A03E-B572-4C4E-B03E-1C201466E970}" type="presOf" srcId="{2E9BB3DA-A628-4DC1-83F4-7D776A787B4C}" destId="{3AD42A2C-A5FB-4870-A68C-B6E46717AEE4}" srcOrd="0" destOrd="0" presId="urn:microsoft.com/office/officeart/2005/8/layout/radial1"/>
    <dgm:cxn modelId="{AF09C2D1-1D09-4484-9FA6-B2C647FF7DE7}" type="presOf" srcId="{36900AD7-58DD-4691-A659-EA76258DAEFE}" destId="{9EA20A18-EEF1-445B-9643-0520D9A9C47F}" srcOrd="0" destOrd="0" presId="urn:microsoft.com/office/officeart/2005/8/layout/radial1"/>
    <dgm:cxn modelId="{7EC77AFD-C48F-4AA6-B095-4A86A49AFC2C}" type="presOf" srcId="{73DF7379-5675-4728-B03C-4F9926860A89}" destId="{8D63F4F5-E980-4BE3-9974-2290E04BF6F3}" srcOrd="0" destOrd="0" presId="urn:microsoft.com/office/officeart/2005/8/layout/radial1"/>
    <dgm:cxn modelId="{8DD76C97-7CB8-404F-BCE2-4C8E242B5BDC}" type="presOf" srcId="{5B536F06-58C3-4E32-A2F5-8A04BE934893}" destId="{6499B4F2-912E-4F4E-8104-6045D0E80D1B}" srcOrd="1" destOrd="0" presId="urn:microsoft.com/office/officeart/2005/8/layout/radial1"/>
    <dgm:cxn modelId="{9DE741F4-2ECA-4EA7-9B39-109981BE3AAF}" type="presOf" srcId="{0B6E99D6-C140-49CE-8DD4-DF9FEAD6888D}" destId="{FD502F16-3F1A-44D0-B157-BC92A33E0048}" srcOrd="0" destOrd="0" presId="urn:microsoft.com/office/officeart/2005/8/layout/radial1"/>
    <dgm:cxn modelId="{0A32BA8C-E898-4B0C-B9EA-1F8AF35DAF06}" type="presOf" srcId="{6BDE01CB-D798-4847-A0A8-DF90A60F68F8}" destId="{7C2F7F2C-0FF3-4603-8361-2B968F54614D}" srcOrd="0" destOrd="0" presId="urn:microsoft.com/office/officeart/2005/8/layout/radial1"/>
    <dgm:cxn modelId="{95347435-BBB1-4857-A46D-721C1725270B}" type="presOf" srcId="{D80D94E0-CD8F-4915-B4CA-F494ED35DAC7}" destId="{7C6AE6CA-A25B-427F-957B-C1C4E874E1F4}" srcOrd="0" destOrd="0" presId="urn:microsoft.com/office/officeart/2005/8/layout/radial1"/>
    <dgm:cxn modelId="{8E534768-3B43-4C27-ACF1-4D3280D8DBDD}" type="presOf" srcId="{4E5FE9E6-E453-4398-BEFE-11139F975B4E}" destId="{4F3733BB-D1B9-4799-AA78-A36BC5626430}" srcOrd="0" destOrd="0" presId="urn:microsoft.com/office/officeart/2005/8/layout/radial1"/>
    <dgm:cxn modelId="{B7298D19-B0DB-4063-A910-7DDFC7367B15}" type="presOf" srcId="{32D80831-0523-4872-9D4C-E8D5B903AD78}" destId="{91AFB3DE-9FA7-4FAD-9E4B-D65A3CAE91EC}" srcOrd="1" destOrd="0" presId="urn:microsoft.com/office/officeart/2005/8/layout/radial1"/>
    <dgm:cxn modelId="{847C0D98-4346-4976-80AD-E484B8A0B43F}" type="presParOf" srcId="{7C2F7F2C-0FF3-4603-8361-2B968F54614D}" destId="{2AAB4EBB-3095-417E-9C9E-3F296CACCE20}" srcOrd="0" destOrd="0" presId="urn:microsoft.com/office/officeart/2005/8/layout/radial1"/>
    <dgm:cxn modelId="{A971D768-1AA7-4712-9560-DD4650FFC06E}" type="presParOf" srcId="{7C2F7F2C-0FF3-4603-8361-2B968F54614D}" destId="{E6A144B6-5DD4-4CB9-99ED-7E5FDE3B85EE}" srcOrd="1" destOrd="0" presId="urn:microsoft.com/office/officeart/2005/8/layout/radial1"/>
    <dgm:cxn modelId="{04E02AD7-94B6-4F7D-AFD7-83DCD4806449}" type="presParOf" srcId="{E6A144B6-5DD4-4CB9-99ED-7E5FDE3B85EE}" destId="{6499B4F2-912E-4F4E-8104-6045D0E80D1B}" srcOrd="0" destOrd="0" presId="urn:microsoft.com/office/officeart/2005/8/layout/radial1"/>
    <dgm:cxn modelId="{7D768B24-8D6C-4A09-99AE-4F061F54580D}" type="presParOf" srcId="{7C2F7F2C-0FF3-4603-8361-2B968F54614D}" destId="{F5DF087E-B715-49B1-9329-DEB8A4479DB3}" srcOrd="2" destOrd="0" presId="urn:microsoft.com/office/officeart/2005/8/layout/radial1"/>
    <dgm:cxn modelId="{F59D95B5-9D25-467C-B324-A0B5C6D2B5FE}" type="presParOf" srcId="{7C2F7F2C-0FF3-4603-8361-2B968F54614D}" destId="{9EA20A18-EEF1-445B-9643-0520D9A9C47F}" srcOrd="3" destOrd="0" presId="urn:microsoft.com/office/officeart/2005/8/layout/radial1"/>
    <dgm:cxn modelId="{61B6B4A0-1BE5-47FA-9DB1-80FA0A171C1D}" type="presParOf" srcId="{9EA20A18-EEF1-445B-9643-0520D9A9C47F}" destId="{000644C2-05B5-4BB5-832D-04413D848D55}" srcOrd="0" destOrd="0" presId="urn:microsoft.com/office/officeart/2005/8/layout/radial1"/>
    <dgm:cxn modelId="{2BC01B01-78E0-4C58-A00F-BD3034C55334}" type="presParOf" srcId="{7C2F7F2C-0FF3-4603-8361-2B968F54614D}" destId="{FD502F16-3F1A-44D0-B157-BC92A33E0048}" srcOrd="4" destOrd="0" presId="urn:microsoft.com/office/officeart/2005/8/layout/radial1"/>
    <dgm:cxn modelId="{39B2456A-3E20-47D6-ACC2-C5376024820E}" type="presParOf" srcId="{7C2F7F2C-0FF3-4603-8361-2B968F54614D}" destId="{4CAFC89B-F649-4599-8DE8-7C4F8F84790D}" srcOrd="5" destOrd="0" presId="urn:microsoft.com/office/officeart/2005/8/layout/radial1"/>
    <dgm:cxn modelId="{0DC43A26-B8A3-4712-8D14-0B399C60C373}" type="presParOf" srcId="{4CAFC89B-F649-4599-8DE8-7C4F8F84790D}" destId="{AC5C3814-0548-47F4-895D-02E820895914}" srcOrd="0" destOrd="0" presId="urn:microsoft.com/office/officeart/2005/8/layout/radial1"/>
    <dgm:cxn modelId="{BCBEB431-28BC-4506-AC9B-9424C5ED4BE6}" type="presParOf" srcId="{7C2F7F2C-0FF3-4603-8361-2B968F54614D}" destId="{231F88CF-75F8-401A-8BEC-A9AECDF82A36}" srcOrd="6" destOrd="0" presId="urn:microsoft.com/office/officeart/2005/8/layout/radial1"/>
    <dgm:cxn modelId="{D1D57C1C-7995-4196-9DFB-18D4F0D587DC}" type="presParOf" srcId="{7C2F7F2C-0FF3-4603-8361-2B968F54614D}" destId="{F2BDD47E-545E-41CB-A2AD-690547F56FFE}" srcOrd="7" destOrd="0" presId="urn:microsoft.com/office/officeart/2005/8/layout/radial1"/>
    <dgm:cxn modelId="{9D963D60-0634-4F95-87C8-52DF63162A55}" type="presParOf" srcId="{F2BDD47E-545E-41CB-A2AD-690547F56FFE}" destId="{91AFB3DE-9FA7-4FAD-9E4B-D65A3CAE91EC}" srcOrd="0" destOrd="0" presId="urn:microsoft.com/office/officeart/2005/8/layout/radial1"/>
    <dgm:cxn modelId="{4EFA754F-1D12-48A5-8540-6133320CC3AD}" type="presParOf" srcId="{7C2F7F2C-0FF3-4603-8361-2B968F54614D}" destId="{3C68FCA0-A169-4853-8E87-2F7A89F0C719}" srcOrd="8" destOrd="0" presId="urn:microsoft.com/office/officeart/2005/8/layout/radial1"/>
    <dgm:cxn modelId="{4264627B-F5AF-492D-A647-5054E6AE7FA9}" type="presParOf" srcId="{7C2F7F2C-0FF3-4603-8361-2B968F54614D}" destId="{4CFFD1EA-6CDB-4E07-BD96-4777E7D362AE}" srcOrd="9" destOrd="0" presId="urn:microsoft.com/office/officeart/2005/8/layout/radial1"/>
    <dgm:cxn modelId="{0677458F-5FB9-4A24-BEAC-62D9B13FB353}" type="presParOf" srcId="{4CFFD1EA-6CDB-4E07-BD96-4777E7D362AE}" destId="{D6A580C7-0050-4899-83AD-DC07A51B3161}" srcOrd="0" destOrd="0" presId="urn:microsoft.com/office/officeart/2005/8/layout/radial1"/>
    <dgm:cxn modelId="{41874CD7-C4CE-4A5B-B18C-38C9C76B2BB1}" type="presParOf" srcId="{7C2F7F2C-0FF3-4603-8361-2B968F54614D}" destId="{3AD42A2C-A5FB-4870-A68C-B6E46717AEE4}" srcOrd="10" destOrd="0" presId="urn:microsoft.com/office/officeart/2005/8/layout/radial1"/>
    <dgm:cxn modelId="{B37B2850-54F4-4FEC-96D4-DF86868FE8D9}" type="presParOf" srcId="{7C2F7F2C-0FF3-4603-8361-2B968F54614D}" destId="{4F3733BB-D1B9-4799-AA78-A36BC5626430}" srcOrd="11" destOrd="0" presId="urn:microsoft.com/office/officeart/2005/8/layout/radial1"/>
    <dgm:cxn modelId="{F3026DC4-A5B5-4529-82E5-3999F758BAB5}" type="presParOf" srcId="{4F3733BB-D1B9-4799-AA78-A36BC5626430}" destId="{397A9910-8DC4-4AA1-9870-409B70346C70}" srcOrd="0" destOrd="0" presId="urn:microsoft.com/office/officeart/2005/8/layout/radial1"/>
    <dgm:cxn modelId="{6EDB2005-68FB-468B-B203-B0A27024AD0D}" type="presParOf" srcId="{7C2F7F2C-0FF3-4603-8361-2B968F54614D}" destId="{7C6AE6CA-A25B-427F-957B-C1C4E874E1F4}" srcOrd="12" destOrd="0" presId="urn:microsoft.com/office/officeart/2005/8/layout/radial1"/>
    <dgm:cxn modelId="{ACF203E3-9219-4D61-A42F-CDC7450950E4}" type="presParOf" srcId="{7C2F7F2C-0FF3-4603-8361-2B968F54614D}" destId="{45B1AEDB-DCAC-4A76-BE6C-05002399CB05}" srcOrd="13" destOrd="0" presId="urn:microsoft.com/office/officeart/2005/8/layout/radial1"/>
    <dgm:cxn modelId="{5D4D3BD6-9A5C-4671-996E-5E67820FDD73}" type="presParOf" srcId="{45B1AEDB-DCAC-4A76-BE6C-05002399CB05}" destId="{F655745D-583A-4FD6-A389-043E066BCEC4}" srcOrd="0" destOrd="0" presId="urn:microsoft.com/office/officeart/2005/8/layout/radial1"/>
    <dgm:cxn modelId="{54993B68-9402-4470-A65B-275E28D664B1}" type="presParOf" srcId="{7C2F7F2C-0FF3-4603-8361-2B968F54614D}" destId="{8D63F4F5-E980-4BE3-9974-2290E04BF6F3}" srcOrd="14"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E65DF7B-6A59-405A-A221-CC4B325F3896}" type="doc">
      <dgm:prSet loTypeId="urn:microsoft.com/office/officeart/2005/8/layout/chevron2" loCatId="process" qsTypeId="urn:microsoft.com/office/officeart/2005/8/quickstyle/3d1" qsCatId="3D" csTypeId="urn:microsoft.com/office/officeart/2005/8/colors/accent1_2" csCatId="accent1" phldr="1"/>
      <dgm:spPr/>
      <dgm:t>
        <a:bodyPr/>
        <a:lstStyle/>
        <a:p>
          <a:endParaRPr lang="en-GB"/>
        </a:p>
      </dgm:t>
    </dgm:pt>
    <dgm:pt modelId="{C1DA72DD-3B3E-4ED3-901F-266B240D31A4}">
      <dgm:prSet phldrT="[Text]" custT="1"/>
      <dgm:spPr>
        <a:xfrm rot="5400000">
          <a:off x="-170089" y="171830"/>
          <a:ext cx="1133930" cy="793751"/>
        </a:xfrm>
      </dgm:spPr>
      <dgm:t>
        <a:bodyPr/>
        <a:lstStyle/>
        <a:p>
          <a:r>
            <a:rPr lang="en-GB" sz="1000">
              <a:latin typeface="Arial" panose="020B0604020202020204" pitchFamily="34" charset="0"/>
              <a:ea typeface="+mn-ea"/>
              <a:cs typeface="Arial" panose="020B0604020202020204" pitchFamily="34" charset="0"/>
            </a:rPr>
            <a:t>Identifying the problem</a:t>
          </a:r>
        </a:p>
      </dgm:t>
    </dgm:pt>
    <dgm:pt modelId="{ADD80D92-8255-4B1A-9DC1-33B73D58C2CE}" type="parTrans" cxnId="{82610286-B11C-4234-8199-2C288BEB30CC}">
      <dgm:prSet/>
      <dgm:spPr/>
      <dgm:t>
        <a:bodyPr/>
        <a:lstStyle/>
        <a:p>
          <a:endParaRPr lang="en-GB"/>
        </a:p>
      </dgm:t>
    </dgm:pt>
    <dgm:pt modelId="{56945EEA-402E-42B4-8A2E-93976BE01413}" type="sibTrans" cxnId="{82610286-B11C-4234-8199-2C288BEB30CC}">
      <dgm:prSet/>
      <dgm:spPr/>
      <dgm:t>
        <a:bodyPr/>
        <a:lstStyle/>
        <a:p>
          <a:endParaRPr lang="en-GB"/>
        </a:p>
      </dgm:t>
    </dgm:pt>
    <dgm:pt modelId="{082756CD-6137-4C99-8B1F-74C5031E5035}">
      <dgm:prSet phldrT="[Text]" custT="1"/>
      <dgm:spPr>
        <a:xfrm rot="5400000">
          <a:off x="2771548" y="-1976056"/>
          <a:ext cx="737055" cy="4692648"/>
        </a:xfrm>
      </dgm:spPr>
      <dgm:t>
        <a:bodyPr/>
        <a:lstStyle/>
        <a:p>
          <a:r>
            <a:rPr lang="en-GB" sz="900">
              <a:latin typeface="Arial" panose="020B0604020202020204" pitchFamily="34" charset="0"/>
              <a:ea typeface="+mn-ea"/>
              <a:cs typeface="Arial" panose="020B0604020202020204" pitchFamily="34" charset="0"/>
            </a:rPr>
            <a:t>The incident is identified</a:t>
          </a:r>
          <a:endParaRPr lang="en-GB" sz="800">
            <a:latin typeface="Arial" panose="020B0604020202020204" pitchFamily="34" charset="0"/>
            <a:ea typeface="+mn-ea"/>
            <a:cs typeface="Arial" panose="020B0604020202020204" pitchFamily="34" charset="0"/>
          </a:endParaRPr>
        </a:p>
      </dgm:t>
    </dgm:pt>
    <dgm:pt modelId="{42EF499E-4041-4252-B4AA-F0F97438F26A}" type="parTrans" cxnId="{0CEA73E8-E05A-4210-A9C3-BA7A18DDF4D2}">
      <dgm:prSet/>
      <dgm:spPr/>
      <dgm:t>
        <a:bodyPr/>
        <a:lstStyle/>
        <a:p>
          <a:endParaRPr lang="en-GB"/>
        </a:p>
      </dgm:t>
    </dgm:pt>
    <dgm:pt modelId="{E1D1517E-450F-4B22-86C8-58868CE73142}" type="sibTrans" cxnId="{0CEA73E8-E05A-4210-A9C3-BA7A18DDF4D2}">
      <dgm:prSet/>
      <dgm:spPr/>
      <dgm:t>
        <a:bodyPr/>
        <a:lstStyle/>
        <a:p>
          <a:endParaRPr lang="en-GB"/>
        </a:p>
      </dgm:t>
    </dgm:pt>
    <dgm:pt modelId="{1202FEBB-C333-4526-A6CF-298A2DB31C9B}">
      <dgm:prSet phldrT="[Text]" custT="1"/>
      <dgm:spPr>
        <a:xfrm rot="5400000">
          <a:off x="-170089" y="1103311"/>
          <a:ext cx="1133930" cy="793751"/>
        </a:xfrm>
      </dgm:spPr>
      <dgm:t>
        <a:bodyPr/>
        <a:lstStyle/>
        <a:p>
          <a:r>
            <a:rPr lang="en-GB" sz="1000">
              <a:latin typeface="Arial" panose="020B0604020202020204" pitchFamily="34" charset="0"/>
              <a:ea typeface="+mn-ea"/>
              <a:cs typeface="Arial" panose="020B0604020202020204" pitchFamily="34" charset="0"/>
            </a:rPr>
            <a:t>Gathering and mapping information</a:t>
          </a:r>
        </a:p>
      </dgm:t>
    </dgm:pt>
    <dgm:pt modelId="{B3D2AA09-8ACB-4B6C-AE40-6AB9727DF9AC}" type="parTrans" cxnId="{F065135A-5869-44AC-B1DD-E892A1E24EC3}">
      <dgm:prSet/>
      <dgm:spPr/>
      <dgm:t>
        <a:bodyPr/>
        <a:lstStyle/>
        <a:p>
          <a:endParaRPr lang="en-GB"/>
        </a:p>
      </dgm:t>
    </dgm:pt>
    <dgm:pt modelId="{1B0B9025-C5D2-4CAD-B09D-5D553DF4AB51}" type="sibTrans" cxnId="{F065135A-5869-44AC-B1DD-E892A1E24EC3}">
      <dgm:prSet/>
      <dgm:spPr/>
      <dgm:t>
        <a:bodyPr/>
        <a:lstStyle/>
        <a:p>
          <a:endParaRPr lang="en-GB"/>
        </a:p>
      </dgm:t>
    </dgm:pt>
    <dgm:pt modelId="{70A6836E-8388-441C-BA24-96F35C2804D0}">
      <dgm:prSet phldrT="[Text]" custT="1"/>
      <dgm:spPr>
        <a:xfrm rot="5400000">
          <a:off x="2771548" y="-1044574"/>
          <a:ext cx="737055" cy="4692648"/>
        </a:xfrm>
      </dgm:spPr>
      <dgm:t>
        <a:bodyPr/>
        <a:lstStyle/>
        <a:p>
          <a:r>
            <a:rPr lang="en-GB" sz="900">
              <a:latin typeface="Arial" panose="020B0604020202020204" pitchFamily="34" charset="0"/>
              <a:ea typeface="+mn-ea"/>
              <a:cs typeface="Arial" panose="020B0604020202020204" pitchFamily="34" charset="0"/>
            </a:rPr>
            <a:t>The Lead Investigator and investgation team will identify what information/evidence is needed and how this wil be obtained (this may inlcude interviewing people, mapping services, reviewing clinical notes/records and visting the area)</a:t>
          </a:r>
          <a:endParaRPr lang="en-GB" sz="700">
            <a:latin typeface="Arial" panose="020B0604020202020204" pitchFamily="34" charset="0"/>
            <a:ea typeface="+mn-ea"/>
            <a:cs typeface="Arial" panose="020B0604020202020204" pitchFamily="34" charset="0"/>
          </a:endParaRPr>
        </a:p>
      </dgm:t>
    </dgm:pt>
    <dgm:pt modelId="{F1ED3B09-D2DC-45F9-B682-5B1575F262E8}" type="parTrans" cxnId="{759F556C-B278-4167-A3EF-7D0612CFC001}">
      <dgm:prSet/>
      <dgm:spPr/>
      <dgm:t>
        <a:bodyPr/>
        <a:lstStyle/>
        <a:p>
          <a:endParaRPr lang="en-GB"/>
        </a:p>
      </dgm:t>
    </dgm:pt>
    <dgm:pt modelId="{F0B87521-7D56-48E3-ADE5-680C551638BF}" type="sibTrans" cxnId="{759F556C-B278-4167-A3EF-7D0612CFC001}">
      <dgm:prSet/>
      <dgm:spPr/>
      <dgm:t>
        <a:bodyPr/>
        <a:lstStyle/>
        <a:p>
          <a:endParaRPr lang="en-GB"/>
        </a:p>
      </dgm:t>
    </dgm:pt>
    <dgm:pt modelId="{F166E59E-EAF0-40C4-A164-1D9FD5C94739}">
      <dgm:prSet phldrT="[Text]" custT="1"/>
      <dgm:spPr>
        <a:xfrm rot="5400000">
          <a:off x="-170089" y="2034793"/>
          <a:ext cx="1133930" cy="793751"/>
        </a:xfrm>
      </dgm:spPr>
      <dgm:t>
        <a:bodyPr/>
        <a:lstStyle/>
        <a:p>
          <a:r>
            <a:rPr lang="en-GB" sz="1050">
              <a:latin typeface="Calibri"/>
              <a:ea typeface="+mn-ea"/>
              <a:cs typeface="+mn-cs"/>
            </a:rPr>
            <a:t>Analysising information</a:t>
          </a:r>
        </a:p>
      </dgm:t>
    </dgm:pt>
    <dgm:pt modelId="{4591DA98-0701-406F-8639-D00EB2A04441}" type="parTrans" cxnId="{A21CFE15-CF57-48B7-92D4-4EE2F953B08E}">
      <dgm:prSet/>
      <dgm:spPr/>
      <dgm:t>
        <a:bodyPr/>
        <a:lstStyle/>
        <a:p>
          <a:endParaRPr lang="en-GB"/>
        </a:p>
      </dgm:t>
    </dgm:pt>
    <dgm:pt modelId="{8F18FBF2-544E-4BF8-878D-C0606706FBE7}" type="sibTrans" cxnId="{A21CFE15-CF57-48B7-92D4-4EE2F953B08E}">
      <dgm:prSet/>
      <dgm:spPr/>
      <dgm:t>
        <a:bodyPr/>
        <a:lstStyle/>
        <a:p>
          <a:endParaRPr lang="en-GB"/>
        </a:p>
      </dgm:t>
    </dgm:pt>
    <dgm:pt modelId="{3FE23BF9-8EF7-464E-8177-D82D2E15F591}">
      <dgm:prSet phldrT="[Text]" custT="1"/>
      <dgm:spPr>
        <a:xfrm rot="5400000">
          <a:off x="2771548" y="-113093"/>
          <a:ext cx="737055" cy="4692648"/>
        </a:xfrm>
      </dgm:spPr>
      <dgm:t>
        <a:bodyPr/>
        <a:lstStyle/>
        <a:p>
          <a:r>
            <a:rPr lang="en-GB" sz="900">
              <a:latin typeface="Arial" panose="020B0604020202020204" pitchFamily="34" charset="0"/>
              <a:ea typeface="+mn-ea"/>
              <a:cs typeface="Arial" panose="020B0604020202020204" pitchFamily="34" charset="0"/>
            </a:rPr>
            <a:t>At this stage  the team review the collate information and agree the priorty problems identified (so far) . </a:t>
          </a:r>
        </a:p>
      </dgm:t>
    </dgm:pt>
    <dgm:pt modelId="{C01FDA84-151C-449A-80EE-12EDDD8FD422}" type="parTrans" cxnId="{8B8DECAE-FC0D-499C-B0EA-CA5580C2019C}">
      <dgm:prSet/>
      <dgm:spPr/>
      <dgm:t>
        <a:bodyPr/>
        <a:lstStyle/>
        <a:p>
          <a:endParaRPr lang="en-GB"/>
        </a:p>
      </dgm:t>
    </dgm:pt>
    <dgm:pt modelId="{E423825E-9C01-44A3-A528-5684F58DE517}" type="sibTrans" cxnId="{8B8DECAE-FC0D-499C-B0EA-CA5580C2019C}">
      <dgm:prSet/>
      <dgm:spPr/>
      <dgm:t>
        <a:bodyPr/>
        <a:lstStyle/>
        <a:p>
          <a:endParaRPr lang="en-GB"/>
        </a:p>
      </dgm:t>
    </dgm:pt>
    <dgm:pt modelId="{293E98EF-8AB7-4F21-BEFA-3E4AB7CA1711}">
      <dgm:prSet custT="1"/>
      <dgm:spPr/>
      <dgm:t>
        <a:bodyPr/>
        <a:lstStyle/>
        <a:p>
          <a:r>
            <a:rPr lang="en-GB" sz="1050"/>
            <a:t>Generating solution</a:t>
          </a:r>
        </a:p>
      </dgm:t>
    </dgm:pt>
    <dgm:pt modelId="{5033305F-CF3B-4F05-8DD1-F94B37B9D988}" type="parTrans" cxnId="{5DE5F2CD-E836-4AF6-A4D7-D0772621F738}">
      <dgm:prSet/>
      <dgm:spPr/>
      <dgm:t>
        <a:bodyPr/>
        <a:lstStyle/>
        <a:p>
          <a:endParaRPr lang="en-GB"/>
        </a:p>
      </dgm:t>
    </dgm:pt>
    <dgm:pt modelId="{1B93701E-8C3F-4F94-A291-16489100BA04}" type="sibTrans" cxnId="{5DE5F2CD-E836-4AF6-A4D7-D0772621F738}">
      <dgm:prSet/>
      <dgm:spPr/>
      <dgm:t>
        <a:bodyPr/>
        <a:lstStyle/>
        <a:p>
          <a:endParaRPr lang="en-GB"/>
        </a:p>
      </dgm:t>
    </dgm:pt>
    <dgm:pt modelId="{BF03258A-F561-441B-986F-C81B0B32193D}">
      <dgm:prSet phldrT="[Text]" custT="1"/>
      <dgm:spPr>
        <a:xfrm rot="5400000">
          <a:off x="2771548" y="-1976056"/>
          <a:ext cx="737055" cy="4692648"/>
        </a:xfrm>
      </dgm:spPr>
      <dgm:t>
        <a:bodyPr/>
        <a:lstStyle/>
        <a:p>
          <a:r>
            <a:rPr lang="en-GB" sz="900">
              <a:latin typeface="Arial" panose="020B0604020202020204" pitchFamily="34" charset="0"/>
              <a:ea typeface="+mn-ea"/>
              <a:cs typeface="Arial" panose="020B0604020202020204" pitchFamily="34" charset="0"/>
            </a:rPr>
            <a:t>A Lead Investigator is appointed and an investigation team  is established</a:t>
          </a:r>
        </a:p>
      </dgm:t>
    </dgm:pt>
    <dgm:pt modelId="{9BE6A137-01C9-4BB6-842C-0A5B06C1289C}" type="sibTrans" cxnId="{A8953B82-E7C0-4E59-BE71-BEEEE5032F3D}">
      <dgm:prSet/>
      <dgm:spPr/>
      <dgm:t>
        <a:bodyPr/>
        <a:lstStyle/>
        <a:p>
          <a:endParaRPr lang="en-GB"/>
        </a:p>
      </dgm:t>
    </dgm:pt>
    <dgm:pt modelId="{AF428EEF-C5C9-4499-A1A0-303E1ED450B0}" type="parTrans" cxnId="{A8953B82-E7C0-4E59-BE71-BEEEE5032F3D}">
      <dgm:prSet/>
      <dgm:spPr/>
      <dgm:t>
        <a:bodyPr/>
        <a:lstStyle/>
        <a:p>
          <a:endParaRPr lang="en-GB"/>
        </a:p>
      </dgm:t>
    </dgm:pt>
    <dgm:pt modelId="{44ED6C5D-DE49-4C22-82AE-6BEF5D625729}">
      <dgm:prSet phldrT="[Text]" custT="1"/>
      <dgm:spPr>
        <a:xfrm rot="5400000">
          <a:off x="2771548" y="-1044574"/>
          <a:ext cx="737055" cy="4692648"/>
        </a:xfrm>
      </dgm:spPr>
      <dgm:t>
        <a:bodyPr/>
        <a:lstStyle/>
        <a:p>
          <a:r>
            <a:rPr lang="en-GB" sz="900">
              <a:latin typeface="Arial" panose="020B0604020202020204" pitchFamily="34" charset="0"/>
              <a:ea typeface="+mn-ea"/>
              <a:cs typeface="Arial" panose="020B0604020202020204" pitchFamily="34" charset="0"/>
            </a:rPr>
            <a:t>During and after this phase there will be consideration regarding what went wrong (i.e. the problems: service deliver porblems, care delivery problem/ lapses, acts and omission in care)</a:t>
          </a:r>
        </a:p>
      </dgm:t>
    </dgm:pt>
    <dgm:pt modelId="{8F94F5C9-F8F4-42BB-88EF-E999B2E42ED2}" type="parTrans" cxnId="{DB3A15EC-A27D-4E60-BAAA-950C9EA27715}">
      <dgm:prSet/>
      <dgm:spPr/>
      <dgm:t>
        <a:bodyPr/>
        <a:lstStyle/>
        <a:p>
          <a:endParaRPr lang="en-GB"/>
        </a:p>
      </dgm:t>
    </dgm:pt>
    <dgm:pt modelId="{D4DAA949-EDBF-4EB5-8DD7-3BE591CE8A95}" type="sibTrans" cxnId="{DB3A15EC-A27D-4E60-BAAA-950C9EA27715}">
      <dgm:prSet/>
      <dgm:spPr/>
      <dgm:t>
        <a:bodyPr/>
        <a:lstStyle/>
        <a:p>
          <a:endParaRPr lang="en-GB"/>
        </a:p>
      </dgm:t>
    </dgm:pt>
    <dgm:pt modelId="{BFB547E5-2892-4676-AB7C-321D365C1871}">
      <dgm:prSet phldrT="[Text]" custT="1"/>
      <dgm:spPr>
        <a:xfrm rot="5400000">
          <a:off x="2771548" y="-113093"/>
          <a:ext cx="737055" cy="4692648"/>
        </a:xfrm>
      </dgm:spPr>
      <dgm:t>
        <a:bodyPr/>
        <a:lstStyle/>
        <a:p>
          <a:r>
            <a:rPr lang="en-GB" sz="900">
              <a:latin typeface="Arial" panose="020B0604020202020204" pitchFamily="34" charset="0"/>
              <a:ea typeface="+mn-ea"/>
              <a:cs typeface="Arial" panose="020B0604020202020204" pitchFamily="34" charset="0"/>
            </a:rPr>
            <a:t>Now the team start to analyse the problems  to indentify the undelying problems known as 'contributory factors'. Consideration is then given to which are the root causes/fundemental issues to be addressed. </a:t>
          </a:r>
        </a:p>
      </dgm:t>
    </dgm:pt>
    <dgm:pt modelId="{29B69DD2-93B0-4878-9F6F-8CE047AADD1F}" type="parTrans" cxnId="{50E00138-C5FE-4202-9ABF-A0BCE594BF86}">
      <dgm:prSet/>
      <dgm:spPr/>
      <dgm:t>
        <a:bodyPr/>
        <a:lstStyle/>
        <a:p>
          <a:endParaRPr lang="en-GB"/>
        </a:p>
      </dgm:t>
    </dgm:pt>
    <dgm:pt modelId="{1AEEB4B0-0972-4365-B80E-4C6DD1B583CD}" type="sibTrans" cxnId="{50E00138-C5FE-4202-9ABF-A0BCE594BF86}">
      <dgm:prSet/>
      <dgm:spPr/>
      <dgm:t>
        <a:bodyPr/>
        <a:lstStyle/>
        <a:p>
          <a:endParaRPr lang="en-GB"/>
        </a:p>
      </dgm:t>
    </dgm:pt>
    <dgm:pt modelId="{9FFE9A90-83F6-4DE2-A35A-29BF93AFA1BE}">
      <dgm:prSet custT="1"/>
      <dgm:spPr/>
      <dgm:t>
        <a:bodyPr/>
        <a:lstStyle/>
        <a:p>
          <a:r>
            <a:rPr lang="en-GB" sz="900">
              <a:latin typeface="Arial" panose="020B0604020202020204" pitchFamily="34" charset="0"/>
              <a:cs typeface="Arial" panose="020B0604020202020204" pitchFamily="34" charset="0"/>
            </a:rPr>
            <a:t>At this stage recommendations are developed that will help to prevent another safety incident (of same kind or similar kind). Recommendations will then be tested/assessed for their ability to provide robust solutions to existing problems. </a:t>
          </a:r>
          <a:r>
            <a:rPr lang="en-GB" sz="900" i="1">
              <a:latin typeface="Arial" panose="020B0604020202020204" pitchFamily="34" charset="0"/>
              <a:cs typeface="Arial" panose="020B0604020202020204" pitchFamily="34" charset="0"/>
            </a:rPr>
            <a:t>Caution: recommendations must be developed with those with budgetary responsibility and understanding  of the wider issues/competing priorities .</a:t>
          </a:r>
        </a:p>
      </dgm:t>
    </dgm:pt>
    <dgm:pt modelId="{C5B67C44-3162-401C-8D08-45940DE63113}" type="parTrans" cxnId="{9763A7F9-0885-4C80-9AC3-6EDE18CFFD69}">
      <dgm:prSet/>
      <dgm:spPr/>
      <dgm:t>
        <a:bodyPr/>
        <a:lstStyle/>
        <a:p>
          <a:endParaRPr lang="en-GB"/>
        </a:p>
      </dgm:t>
    </dgm:pt>
    <dgm:pt modelId="{9A6E0872-50CC-401F-84A9-5D1BCF770EE4}" type="sibTrans" cxnId="{9763A7F9-0885-4C80-9AC3-6EDE18CFFD69}">
      <dgm:prSet/>
      <dgm:spPr/>
      <dgm:t>
        <a:bodyPr/>
        <a:lstStyle/>
        <a:p>
          <a:endParaRPr lang="en-GB"/>
        </a:p>
      </dgm:t>
    </dgm:pt>
    <dgm:pt modelId="{169E3AE4-4F25-4C2A-9DE6-C979013DEFEC}">
      <dgm:prSet phldrT="[Text]" custT="1"/>
      <dgm:spPr>
        <a:xfrm rot="5400000">
          <a:off x="2771548" y="-1976056"/>
          <a:ext cx="737055" cy="4692648"/>
        </a:xfrm>
      </dgm:spPr>
      <dgm:t>
        <a:bodyPr/>
        <a:lstStyle/>
        <a:p>
          <a:r>
            <a:rPr lang="en-GB" sz="900">
              <a:latin typeface="Arial" panose="020B0604020202020204" pitchFamily="34" charset="0"/>
              <a:ea typeface="+mn-ea"/>
              <a:cs typeface="Arial" panose="020B0604020202020204" pitchFamily="34" charset="0"/>
            </a:rPr>
            <a:t>The need to investigate using systems investgation is recognsied (the scale and scope of investgation is considered) </a:t>
          </a:r>
        </a:p>
      </dgm:t>
    </dgm:pt>
    <dgm:pt modelId="{89149EBC-5AA2-404B-AC4E-2219E131DFB2}" type="parTrans" cxnId="{684B4EBE-CF53-462F-BB8B-5ED8A0BDF19B}">
      <dgm:prSet/>
      <dgm:spPr/>
      <dgm:t>
        <a:bodyPr/>
        <a:lstStyle/>
        <a:p>
          <a:endParaRPr lang="en-GB"/>
        </a:p>
      </dgm:t>
    </dgm:pt>
    <dgm:pt modelId="{6EE5C85A-8742-42A1-813C-68691CCC6A42}" type="sibTrans" cxnId="{684B4EBE-CF53-462F-BB8B-5ED8A0BDF19B}">
      <dgm:prSet/>
      <dgm:spPr/>
      <dgm:t>
        <a:bodyPr/>
        <a:lstStyle/>
        <a:p>
          <a:endParaRPr lang="en-GB"/>
        </a:p>
      </dgm:t>
    </dgm:pt>
    <dgm:pt modelId="{D36E8E68-868C-4484-9580-CC2B0AC45AD7}" type="pres">
      <dgm:prSet presAssocID="{FE65DF7B-6A59-405A-A221-CC4B325F3896}" presName="linearFlow" presStyleCnt="0">
        <dgm:presLayoutVars>
          <dgm:dir/>
          <dgm:animLvl val="lvl"/>
          <dgm:resizeHandles val="exact"/>
        </dgm:presLayoutVars>
      </dgm:prSet>
      <dgm:spPr/>
      <dgm:t>
        <a:bodyPr/>
        <a:lstStyle/>
        <a:p>
          <a:endParaRPr lang="en-GB"/>
        </a:p>
      </dgm:t>
    </dgm:pt>
    <dgm:pt modelId="{18F0DCAE-0460-4C3F-B983-4CDA306AB4B9}" type="pres">
      <dgm:prSet presAssocID="{C1DA72DD-3B3E-4ED3-901F-266B240D31A4}" presName="composite" presStyleCnt="0"/>
      <dgm:spPr/>
      <dgm:t>
        <a:bodyPr/>
        <a:lstStyle/>
        <a:p>
          <a:endParaRPr lang="en-GB"/>
        </a:p>
      </dgm:t>
    </dgm:pt>
    <dgm:pt modelId="{2123F4DD-34C8-42EF-91A1-6AA5E9E89E4E}" type="pres">
      <dgm:prSet presAssocID="{C1DA72DD-3B3E-4ED3-901F-266B240D31A4}" presName="parentText" presStyleLbl="alignNode1" presStyleIdx="0" presStyleCnt="4">
        <dgm:presLayoutVars>
          <dgm:chMax val="1"/>
          <dgm:bulletEnabled val="1"/>
        </dgm:presLayoutVars>
      </dgm:prSet>
      <dgm:spPr>
        <a:prstGeom prst="chevron">
          <a:avLst/>
        </a:prstGeom>
      </dgm:spPr>
      <dgm:t>
        <a:bodyPr/>
        <a:lstStyle/>
        <a:p>
          <a:endParaRPr lang="en-GB"/>
        </a:p>
      </dgm:t>
    </dgm:pt>
    <dgm:pt modelId="{2CC716B1-1E73-4126-B02E-C72D68443D7F}" type="pres">
      <dgm:prSet presAssocID="{C1DA72DD-3B3E-4ED3-901F-266B240D31A4}" presName="descendantText" presStyleLbl="alignAcc1" presStyleIdx="0" presStyleCnt="4">
        <dgm:presLayoutVars>
          <dgm:bulletEnabled val="1"/>
        </dgm:presLayoutVars>
      </dgm:prSet>
      <dgm:spPr>
        <a:prstGeom prst="round2SameRect">
          <a:avLst/>
        </a:prstGeom>
      </dgm:spPr>
      <dgm:t>
        <a:bodyPr/>
        <a:lstStyle/>
        <a:p>
          <a:endParaRPr lang="en-GB"/>
        </a:p>
      </dgm:t>
    </dgm:pt>
    <dgm:pt modelId="{1DF3202D-76DA-4106-950E-2FC850C798BF}" type="pres">
      <dgm:prSet presAssocID="{56945EEA-402E-42B4-8A2E-93976BE01413}" presName="sp" presStyleCnt="0"/>
      <dgm:spPr/>
      <dgm:t>
        <a:bodyPr/>
        <a:lstStyle/>
        <a:p>
          <a:endParaRPr lang="en-GB"/>
        </a:p>
      </dgm:t>
    </dgm:pt>
    <dgm:pt modelId="{7C1384BB-14D6-4F11-8D77-A7FB1E93F485}" type="pres">
      <dgm:prSet presAssocID="{1202FEBB-C333-4526-A6CF-298A2DB31C9B}" presName="composite" presStyleCnt="0"/>
      <dgm:spPr/>
      <dgm:t>
        <a:bodyPr/>
        <a:lstStyle/>
        <a:p>
          <a:endParaRPr lang="en-GB"/>
        </a:p>
      </dgm:t>
    </dgm:pt>
    <dgm:pt modelId="{96F67320-AF34-4562-AC1C-2AD6B6D849CA}" type="pres">
      <dgm:prSet presAssocID="{1202FEBB-C333-4526-A6CF-298A2DB31C9B}" presName="parentText" presStyleLbl="alignNode1" presStyleIdx="1" presStyleCnt="4" custLinFactNeighborX="-6159" custLinFactNeighborY="-5925">
        <dgm:presLayoutVars>
          <dgm:chMax val="1"/>
          <dgm:bulletEnabled val="1"/>
        </dgm:presLayoutVars>
      </dgm:prSet>
      <dgm:spPr>
        <a:prstGeom prst="chevron">
          <a:avLst/>
        </a:prstGeom>
      </dgm:spPr>
      <dgm:t>
        <a:bodyPr/>
        <a:lstStyle/>
        <a:p>
          <a:endParaRPr lang="en-GB"/>
        </a:p>
      </dgm:t>
    </dgm:pt>
    <dgm:pt modelId="{38CF52ED-395C-41A1-9B4C-A186935176AA}" type="pres">
      <dgm:prSet presAssocID="{1202FEBB-C333-4526-A6CF-298A2DB31C9B}" presName="descendantText" presStyleLbl="alignAcc1" presStyleIdx="1" presStyleCnt="4" custScaleY="109197" custLinFactNeighborY="-948">
        <dgm:presLayoutVars>
          <dgm:bulletEnabled val="1"/>
        </dgm:presLayoutVars>
      </dgm:prSet>
      <dgm:spPr>
        <a:prstGeom prst="round2SameRect">
          <a:avLst/>
        </a:prstGeom>
      </dgm:spPr>
      <dgm:t>
        <a:bodyPr/>
        <a:lstStyle/>
        <a:p>
          <a:endParaRPr lang="en-GB"/>
        </a:p>
      </dgm:t>
    </dgm:pt>
    <dgm:pt modelId="{77B66783-832F-4717-AE6E-8465F375F071}" type="pres">
      <dgm:prSet presAssocID="{1B0B9025-C5D2-4CAD-B09D-5D553DF4AB51}" presName="sp" presStyleCnt="0"/>
      <dgm:spPr/>
      <dgm:t>
        <a:bodyPr/>
        <a:lstStyle/>
        <a:p>
          <a:endParaRPr lang="en-GB"/>
        </a:p>
      </dgm:t>
    </dgm:pt>
    <dgm:pt modelId="{9B0AEB86-1B57-4810-B6B3-326151B0B41F}" type="pres">
      <dgm:prSet presAssocID="{F166E59E-EAF0-40C4-A164-1D9FD5C94739}" presName="composite" presStyleCnt="0"/>
      <dgm:spPr/>
      <dgm:t>
        <a:bodyPr/>
        <a:lstStyle/>
        <a:p>
          <a:endParaRPr lang="en-GB"/>
        </a:p>
      </dgm:t>
    </dgm:pt>
    <dgm:pt modelId="{C91CE79E-F51F-4A60-9C4A-76EA47FF172E}" type="pres">
      <dgm:prSet presAssocID="{F166E59E-EAF0-40C4-A164-1D9FD5C94739}" presName="parentText" presStyleLbl="alignNode1" presStyleIdx="2" presStyleCnt="4" custLinFactNeighborX="0" custLinFactNeighborY="11">
        <dgm:presLayoutVars>
          <dgm:chMax val="1"/>
          <dgm:bulletEnabled val="1"/>
        </dgm:presLayoutVars>
      </dgm:prSet>
      <dgm:spPr>
        <a:prstGeom prst="chevron">
          <a:avLst/>
        </a:prstGeom>
      </dgm:spPr>
      <dgm:t>
        <a:bodyPr/>
        <a:lstStyle/>
        <a:p>
          <a:endParaRPr lang="en-GB"/>
        </a:p>
      </dgm:t>
    </dgm:pt>
    <dgm:pt modelId="{398B6A56-15D6-4978-BB47-805A349A5468}" type="pres">
      <dgm:prSet presAssocID="{F166E59E-EAF0-40C4-A164-1D9FD5C94739}" presName="descendantText" presStyleLbl="alignAcc1" presStyleIdx="2" presStyleCnt="4">
        <dgm:presLayoutVars>
          <dgm:bulletEnabled val="1"/>
        </dgm:presLayoutVars>
      </dgm:prSet>
      <dgm:spPr>
        <a:prstGeom prst="round2SameRect">
          <a:avLst/>
        </a:prstGeom>
      </dgm:spPr>
      <dgm:t>
        <a:bodyPr/>
        <a:lstStyle/>
        <a:p>
          <a:endParaRPr lang="en-GB"/>
        </a:p>
      </dgm:t>
    </dgm:pt>
    <dgm:pt modelId="{34B3ACD9-95CC-4771-9CAD-E38D09E4EEF9}" type="pres">
      <dgm:prSet presAssocID="{8F18FBF2-544E-4BF8-878D-C0606706FBE7}" presName="sp" presStyleCnt="0"/>
      <dgm:spPr/>
      <dgm:t>
        <a:bodyPr/>
        <a:lstStyle/>
        <a:p>
          <a:endParaRPr lang="en-GB"/>
        </a:p>
      </dgm:t>
    </dgm:pt>
    <dgm:pt modelId="{1D21D575-DF00-485F-ABAD-C066E2BFEC13}" type="pres">
      <dgm:prSet presAssocID="{293E98EF-8AB7-4F21-BEFA-3E4AB7CA1711}" presName="composite" presStyleCnt="0"/>
      <dgm:spPr/>
      <dgm:t>
        <a:bodyPr/>
        <a:lstStyle/>
        <a:p>
          <a:endParaRPr lang="en-GB"/>
        </a:p>
      </dgm:t>
    </dgm:pt>
    <dgm:pt modelId="{A86136EB-B7F2-4D24-9DE3-DF44B01CCDF6}" type="pres">
      <dgm:prSet presAssocID="{293E98EF-8AB7-4F21-BEFA-3E4AB7CA1711}" presName="parentText" presStyleLbl="alignNode1" presStyleIdx="3" presStyleCnt="4" custLinFactNeighborX="0" custLinFactNeighborY="-3695">
        <dgm:presLayoutVars>
          <dgm:chMax val="1"/>
          <dgm:bulletEnabled val="1"/>
        </dgm:presLayoutVars>
      </dgm:prSet>
      <dgm:spPr/>
      <dgm:t>
        <a:bodyPr/>
        <a:lstStyle/>
        <a:p>
          <a:endParaRPr lang="en-GB"/>
        </a:p>
      </dgm:t>
    </dgm:pt>
    <dgm:pt modelId="{302ECAD6-6F94-4EB5-A633-A4B3C3CE6739}" type="pres">
      <dgm:prSet presAssocID="{293E98EF-8AB7-4F21-BEFA-3E4AB7CA1711}" presName="descendantText" presStyleLbl="alignAcc1" presStyleIdx="3" presStyleCnt="4" custLinFactNeighborX="0" custLinFactNeighborY="-5259">
        <dgm:presLayoutVars>
          <dgm:bulletEnabled val="1"/>
        </dgm:presLayoutVars>
      </dgm:prSet>
      <dgm:spPr/>
      <dgm:t>
        <a:bodyPr/>
        <a:lstStyle/>
        <a:p>
          <a:endParaRPr lang="en-GB"/>
        </a:p>
      </dgm:t>
    </dgm:pt>
  </dgm:ptLst>
  <dgm:cxnLst>
    <dgm:cxn modelId="{3DE02637-C1B4-4DDD-866D-2BF0BEF1FC24}" type="presOf" srcId="{169E3AE4-4F25-4C2A-9DE6-C979013DEFEC}" destId="{2CC716B1-1E73-4126-B02E-C72D68443D7F}" srcOrd="0" destOrd="1" presId="urn:microsoft.com/office/officeart/2005/8/layout/chevron2"/>
    <dgm:cxn modelId="{9D22428B-1481-4CFC-A705-3392E2BE7C34}" type="presOf" srcId="{F166E59E-EAF0-40C4-A164-1D9FD5C94739}" destId="{C91CE79E-F51F-4A60-9C4A-76EA47FF172E}" srcOrd="0" destOrd="0" presId="urn:microsoft.com/office/officeart/2005/8/layout/chevron2"/>
    <dgm:cxn modelId="{10B1D56D-1B7F-47CE-92D1-D6F45C996745}" type="presOf" srcId="{9FFE9A90-83F6-4DE2-A35A-29BF93AFA1BE}" destId="{302ECAD6-6F94-4EB5-A633-A4B3C3CE6739}" srcOrd="0" destOrd="0" presId="urn:microsoft.com/office/officeart/2005/8/layout/chevron2"/>
    <dgm:cxn modelId="{9763A7F9-0885-4C80-9AC3-6EDE18CFFD69}" srcId="{293E98EF-8AB7-4F21-BEFA-3E4AB7CA1711}" destId="{9FFE9A90-83F6-4DE2-A35A-29BF93AFA1BE}" srcOrd="0" destOrd="0" parTransId="{C5B67C44-3162-401C-8D08-45940DE63113}" sibTransId="{9A6E0872-50CC-401F-84A9-5D1BCF770EE4}"/>
    <dgm:cxn modelId="{A21CFE15-CF57-48B7-92D4-4EE2F953B08E}" srcId="{FE65DF7B-6A59-405A-A221-CC4B325F3896}" destId="{F166E59E-EAF0-40C4-A164-1D9FD5C94739}" srcOrd="2" destOrd="0" parTransId="{4591DA98-0701-406F-8639-D00EB2A04441}" sibTransId="{8F18FBF2-544E-4BF8-878D-C0606706FBE7}"/>
    <dgm:cxn modelId="{DB3A15EC-A27D-4E60-BAAA-950C9EA27715}" srcId="{1202FEBB-C333-4526-A6CF-298A2DB31C9B}" destId="{44ED6C5D-DE49-4C22-82AE-6BEF5D625729}" srcOrd="1" destOrd="0" parTransId="{8F94F5C9-F8F4-42BB-88EF-E999B2E42ED2}" sibTransId="{D4DAA949-EDBF-4EB5-8DD7-3BE591CE8A95}"/>
    <dgm:cxn modelId="{50E00138-C5FE-4202-9ABF-A0BCE594BF86}" srcId="{F166E59E-EAF0-40C4-A164-1D9FD5C94739}" destId="{BFB547E5-2892-4676-AB7C-321D365C1871}" srcOrd="1" destOrd="0" parTransId="{29B69DD2-93B0-4878-9F6F-8CE047AADD1F}" sibTransId="{1AEEB4B0-0972-4365-B80E-4C6DD1B583CD}"/>
    <dgm:cxn modelId="{8B8DECAE-FC0D-499C-B0EA-CA5580C2019C}" srcId="{F166E59E-EAF0-40C4-A164-1D9FD5C94739}" destId="{3FE23BF9-8EF7-464E-8177-D82D2E15F591}" srcOrd="0" destOrd="0" parTransId="{C01FDA84-151C-449A-80EE-12EDDD8FD422}" sibTransId="{E423825E-9C01-44A3-A528-5684F58DE517}"/>
    <dgm:cxn modelId="{1B600115-77F0-448C-B478-D7EA2DA97B05}" type="presOf" srcId="{BFB547E5-2892-4676-AB7C-321D365C1871}" destId="{398B6A56-15D6-4978-BB47-805A349A5468}" srcOrd="0" destOrd="1" presId="urn:microsoft.com/office/officeart/2005/8/layout/chevron2"/>
    <dgm:cxn modelId="{0E85BBE4-E3BD-41BC-A636-7096CB5466B4}" type="presOf" srcId="{BF03258A-F561-441B-986F-C81B0B32193D}" destId="{2CC716B1-1E73-4126-B02E-C72D68443D7F}" srcOrd="0" destOrd="2" presId="urn:microsoft.com/office/officeart/2005/8/layout/chevron2"/>
    <dgm:cxn modelId="{2693C580-E6CC-4BDC-9BA7-5CBFE66B91BC}" type="presOf" srcId="{C1DA72DD-3B3E-4ED3-901F-266B240D31A4}" destId="{2123F4DD-34C8-42EF-91A1-6AA5E9E89E4E}" srcOrd="0" destOrd="0" presId="urn:microsoft.com/office/officeart/2005/8/layout/chevron2"/>
    <dgm:cxn modelId="{684B4EBE-CF53-462F-BB8B-5ED8A0BDF19B}" srcId="{C1DA72DD-3B3E-4ED3-901F-266B240D31A4}" destId="{169E3AE4-4F25-4C2A-9DE6-C979013DEFEC}" srcOrd="1" destOrd="0" parTransId="{89149EBC-5AA2-404B-AC4E-2219E131DFB2}" sibTransId="{6EE5C85A-8742-42A1-813C-68691CCC6A42}"/>
    <dgm:cxn modelId="{5DE5F2CD-E836-4AF6-A4D7-D0772621F738}" srcId="{FE65DF7B-6A59-405A-A221-CC4B325F3896}" destId="{293E98EF-8AB7-4F21-BEFA-3E4AB7CA1711}" srcOrd="3" destOrd="0" parTransId="{5033305F-CF3B-4F05-8DD1-F94B37B9D988}" sibTransId="{1B93701E-8C3F-4F94-A291-16489100BA04}"/>
    <dgm:cxn modelId="{0CEA73E8-E05A-4210-A9C3-BA7A18DDF4D2}" srcId="{C1DA72DD-3B3E-4ED3-901F-266B240D31A4}" destId="{082756CD-6137-4C99-8B1F-74C5031E5035}" srcOrd="0" destOrd="0" parTransId="{42EF499E-4041-4252-B4AA-F0F97438F26A}" sibTransId="{E1D1517E-450F-4B22-86C8-58868CE73142}"/>
    <dgm:cxn modelId="{759F556C-B278-4167-A3EF-7D0612CFC001}" srcId="{1202FEBB-C333-4526-A6CF-298A2DB31C9B}" destId="{70A6836E-8388-441C-BA24-96F35C2804D0}" srcOrd="0" destOrd="0" parTransId="{F1ED3B09-D2DC-45F9-B682-5B1575F262E8}" sibTransId="{F0B87521-7D56-48E3-ADE5-680C551638BF}"/>
    <dgm:cxn modelId="{70BBAC01-B2A9-4813-A885-54C53A6BAE9F}" type="presOf" srcId="{44ED6C5D-DE49-4C22-82AE-6BEF5D625729}" destId="{38CF52ED-395C-41A1-9B4C-A186935176AA}" srcOrd="0" destOrd="1" presId="urn:microsoft.com/office/officeart/2005/8/layout/chevron2"/>
    <dgm:cxn modelId="{CC6B72AD-8203-488C-B5C4-29B5C710BF8B}" type="presOf" srcId="{1202FEBB-C333-4526-A6CF-298A2DB31C9B}" destId="{96F67320-AF34-4562-AC1C-2AD6B6D849CA}" srcOrd="0" destOrd="0" presId="urn:microsoft.com/office/officeart/2005/8/layout/chevron2"/>
    <dgm:cxn modelId="{6E643715-489F-41AA-A655-02A89425747D}" type="presOf" srcId="{3FE23BF9-8EF7-464E-8177-D82D2E15F591}" destId="{398B6A56-15D6-4978-BB47-805A349A5468}" srcOrd="0" destOrd="0" presId="urn:microsoft.com/office/officeart/2005/8/layout/chevron2"/>
    <dgm:cxn modelId="{9134DD60-CA91-4393-B902-87495C57FAB2}" type="presOf" srcId="{082756CD-6137-4C99-8B1F-74C5031E5035}" destId="{2CC716B1-1E73-4126-B02E-C72D68443D7F}" srcOrd="0" destOrd="0" presId="urn:microsoft.com/office/officeart/2005/8/layout/chevron2"/>
    <dgm:cxn modelId="{2615F4B9-B3CF-4D80-B8EB-94DF068ED7EE}" type="presOf" srcId="{FE65DF7B-6A59-405A-A221-CC4B325F3896}" destId="{D36E8E68-868C-4484-9580-CC2B0AC45AD7}" srcOrd="0" destOrd="0" presId="urn:microsoft.com/office/officeart/2005/8/layout/chevron2"/>
    <dgm:cxn modelId="{82610286-B11C-4234-8199-2C288BEB30CC}" srcId="{FE65DF7B-6A59-405A-A221-CC4B325F3896}" destId="{C1DA72DD-3B3E-4ED3-901F-266B240D31A4}" srcOrd="0" destOrd="0" parTransId="{ADD80D92-8255-4B1A-9DC1-33B73D58C2CE}" sibTransId="{56945EEA-402E-42B4-8A2E-93976BE01413}"/>
    <dgm:cxn modelId="{3C480747-57B4-43AF-8AAB-A21E675E67B3}" type="presOf" srcId="{70A6836E-8388-441C-BA24-96F35C2804D0}" destId="{38CF52ED-395C-41A1-9B4C-A186935176AA}" srcOrd="0" destOrd="0" presId="urn:microsoft.com/office/officeart/2005/8/layout/chevron2"/>
    <dgm:cxn modelId="{A8953B82-E7C0-4E59-BE71-BEEEE5032F3D}" srcId="{C1DA72DD-3B3E-4ED3-901F-266B240D31A4}" destId="{BF03258A-F561-441B-986F-C81B0B32193D}" srcOrd="2" destOrd="0" parTransId="{AF428EEF-C5C9-4499-A1A0-303E1ED450B0}" sibTransId="{9BE6A137-01C9-4BB6-842C-0A5B06C1289C}"/>
    <dgm:cxn modelId="{F065135A-5869-44AC-B1DD-E892A1E24EC3}" srcId="{FE65DF7B-6A59-405A-A221-CC4B325F3896}" destId="{1202FEBB-C333-4526-A6CF-298A2DB31C9B}" srcOrd="1" destOrd="0" parTransId="{B3D2AA09-8ACB-4B6C-AE40-6AB9727DF9AC}" sibTransId="{1B0B9025-C5D2-4CAD-B09D-5D553DF4AB51}"/>
    <dgm:cxn modelId="{EF3DDEB0-37DA-4408-84FA-A904553E7228}" type="presOf" srcId="{293E98EF-8AB7-4F21-BEFA-3E4AB7CA1711}" destId="{A86136EB-B7F2-4D24-9DE3-DF44B01CCDF6}" srcOrd="0" destOrd="0" presId="urn:microsoft.com/office/officeart/2005/8/layout/chevron2"/>
    <dgm:cxn modelId="{B04CC4C7-3F5D-4EDC-A755-6CEA381E7860}" type="presParOf" srcId="{D36E8E68-868C-4484-9580-CC2B0AC45AD7}" destId="{18F0DCAE-0460-4C3F-B983-4CDA306AB4B9}" srcOrd="0" destOrd="0" presId="urn:microsoft.com/office/officeart/2005/8/layout/chevron2"/>
    <dgm:cxn modelId="{B939517C-B605-4B22-BF9E-0BE4EEF2654E}" type="presParOf" srcId="{18F0DCAE-0460-4C3F-B983-4CDA306AB4B9}" destId="{2123F4DD-34C8-42EF-91A1-6AA5E9E89E4E}" srcOrd="0" destOrd="0" presId="urn:microsoft.com/office/officeart/2005/8/layout/chevron2"/>
    <dgm:cxn modelId="{3B722D69-D872-403F-8C67-41C20424F42C}" type="presParOf" srcId="{18F0DCAE-0460-4C3F-B983-4CDA306AB4B9}" destId="{2CC716B1-1E73-4126-B02E-C72D68443D7F}" srcOrd="1" destOrd="0" presId="urn:microsoft.com/office/officeart/2005/8/layout/chevron2"/>
    <dgm:cxn modelId="{E50A4B73-D84B-4447-A3F1-261D0C2CF47C}" type="presParOf" srcId="{D36E8E68-868C-4484-9580-CC2B0AC45AD7}" destId="{1DF3202D-76DA-4106-950E-2FC850C798BF}" srcOrd="1" destOrd="0" presId="urn:microsoft.com/office/officeart/2005/8/layout/chevron2"/>
    <dgm:cxn modelId="{63594733-0CA2-40D3-B983-D9F791BA89CA}" type="presParOf" srcId="{D36E8E68-868C-4484-9580-CC2B0AC45AD7}" destId="{7C1384BB-14D6-4F11-8D77-A7FB1E93F485}" srcOrd="2" destOrd="0" presId="urn:microsoft.com/office/officeart/2005/8/layout/chevron2"/>
    <dgm:cxn modelId="{A1080501-B6FA-49EB-9935-BB14837E89F7}" type="presParOf" srcId="{7C1384BB-14D6-4F11-8D77-A7FB1E93F485}" destId="{96F67320-AF34-4562-AC1C-2AD6B6D849CA}" srcOrd="0" destOrd="0" presId="urn:microsoft.com/office/officeart/2005/8/layout/chevron2"/>
    <dgm:cxn modelId="{5A477DEF-9407-40A3-9A51-847A33F0125D}" type="presParOf" srcId="{7C1384BB-14D6-4F11-8D77-A7FB1E93F485}" destId="{38CF52ED-395C-41A1-9B4C-A186935176AA}" srcOrd="1" destOrd="0" presId="urn:microsoft.com/office/officeart/2005/8/layout/chevron2"/>
    <dgm:cxn modelId="{A5916F81-4B53-4B32-AABE-52906DBA33B1}" type="presParOf" srcId="{D36E8E68-868C-4484-9580-CC2B0AC45AD7}" destId="{77B66783-832F-4717-AE6E-8465F375F071}" srcOrd="3" destOrd="0" presId="urn:microsoft.com/office/officeart/2005/8/layout/chevron2"/>
    <dgm:cxn modelId="{BC559473-F7B4-4DB6-B0F9-5F80BD14A33F}" type="presParOf" srcId="{D36E8E68-868C-4484-9580-CC2B0AC45AD7}" destId="{9B0AEB86-1B57-4810-B6B3-326151B0B41F}" srcOrd="4" destOrd="0" presId="urn:microsoft.com/office/officeart/2005/8/layout/chevron2"/>
    <dgm:cxn modelId="{00AA831E-008E-43FC-9904-F3815987BF1C}" type="presParOf" srcId="{9B0AEB86-1B57-4810-B6B3-326151B0B41F}" destId="{C91CE79E-F51F-4A60-9C4A-76EA47FF172E}" srcOrd="0" destOrd="0" presId="urn:microsoft.com/office/officeart/2005/8/layout/chevron2"/>
    <dgm:cxn modelId="{A530CA57-56B4-48F8-937C-387A98153463}" type="presParOf" srcId="{9B0AEB86-1B57-4810-B6B3-326151B0B41F}" destId="{398B6A56-15D6-4978-BB47-805A349A5468}" srcOrd="1" destOrd="0" presId="urn:microsoft.com/office/officeart/2005/8/layout/chevron2"/>
    <dgm:cxn modelId="{03663CA2-48A0-4772-9887-C9551149D5E0}" type="presParOf" srcId="{D36E8E68-868C-4484-9580-CC2B0AC45AD7}" destId="{34B3ACD9-95CC-4771-9CAD-E38D09E4EEF9}" srcOrd="5" destOrd="0" presId="urn:microsoft.com/office/officeart/2005/8/layout/chevron2"/>
    <dgm:cxn modelId="{3DA2D68D-5B4D-4EF4-9B32-2300DD345076}" type="presParOf" srcId="{D36E8E68-868C-4484-9580-CC2B0AC45AD7}" destId="{1D21D575-DF00-485F-ABAD-C066E2BFEC13}" srcOrd="6" destOrd="0" presId="urn:microsoft.com/office/officeart/2005/8/layout/chevron2"/>
    <dgm:cxn modelId="{83E4D443-0F1F-45DA-B56D-887818B58FF4}" type="presParOf" srcId="{1D21D575-DF00-485F-ABAD-C066E2BFEC13}" destId="{A86136EB-B7F2-4D24-9DE3-DF44B01CCDF6}" srcOrd="0" destOrd="0" presId="urn:microsoft.com/office/officeart/2005/8/layout/chevron2"/>
    <dgm:cxn modelId="{A3A36A16-DD65-4811-A9DF-85BF734F760E}" type="presParOf" srcId="{1D21D575-DF00-485F-ABAD-C066E2BFEC13}" destId="{302ECAD6-6F94-4EB5-A633-A4B3C3CE6739}"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AB4EBB-3095-417E-9C9E-3F296CACCE20}">
      <dsp:nvSpPr>
        <dsp:cNvPr id="0" name=""/>
        <dsp:cNvSpPr/>
      </dsp:nvSpPr>
      <dsp:spPr>
        <a:xfrm>
          <a:off x="2330332" y="1784407"/>
          <a:ext cx="1178159" cy="117815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Prinicples of Serious Incident Management</a:t>
          </a:r>
        </a:p>
      </dsp:txBody>
      <dsp:txXfrm>
        <a:off x="2502869" y="1956944"/>
        <a:ext cx="833085" cy="833085"/>
      </dsp:txXfrm>
    </dsp:sp>
    <dsp:sp modelId="{E6A144B6-5DD4-4CB9-99ED-7E5FDE3B85EE}">
      <dsp:nvSpPr>
        <dsp:cNvPr id="0" name=""/>
        <dsp:cNvSpPr/>
      </dsp:nvSpPr>
      <dsp:spPr>
        <a:xfrm rot="16200000">
          <a:off x="2625056" y="1471891"/>
          <a:ext cx="588712" cy="36320"/>
        </a:xfrm>
        <a:custGeom>
          <a:avLst/>
          <a:gdLst/>
          <a:ahLst/>
          <a:cxnLst/>
          <a:rect l="0" t="0" r="0" b="0"/>
          <a:pathLst>
            <a:path>
              <a:moveTo>
                <a:pt x="0" y="18160"/>
              </a:moveTo>
              <a:lnTo>
                <a:pt x="588712" y="181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GB" sz="1100" kern="1200">
            <a:latin typeface="Arial" panose="020B0604020202020204" pitchFamily="34" charset="0"/>
            <a:cs typeface="Arial" panose="020B0604020202020204" pitchFamily="34" charset="0"/>
          </a:endParaRPr>
        </a:p>
      </dsp:txBody>
      <dsp:txXfrm>
        <a:off x="2904694" y="1475333"/>
        <a:ext cx="29435" cy="29435"/>
      </dsp:txXfrm>
    </dsp:sp>
    <dsp:sp modelId="{F5DF087E-B715-49B1-9329-DEB8A4479DB3}">
      <dsp:nvSpPr>
        <dsp:cNvPr id="0" name=""/>
        <dsp:cNvSpPr/>
      </dsp:nvSpPr>
      <dsp:spPr>
        <a:xfrm>
          <a:off x="2330332" y="17535"/>
          <a:ext cx="1178159" cy="1178159"/>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Open and transparent</a:t>
          </a:r>
        </a:p>
      </dsp:txBody>
      <dsp:txXfrm>
        <a:off x="2502869" y="190072"/>
        <a:ext cx="833085" cy="833085"/>
      </dsp:txXfrm>
    </dsp:sp>
    <dsp:sp modelId="{9EA20A18-EEF1-445B-9643-0520D9A9C47F}">
      <dsp:nvSpPr>
        <dsp:cNvPr id="0" name=""/>
        <dsp:cNvSpPr/>
      </dsp:nvSpPr>
      <dsp:spPr>
        <a:xfrm rot="13114286">
          <a:off x="1934357" y="1804513"/>
          <a:ext cx="588712" cy="36320"/>
        </a:xfrm>
        <a:custGeom>
          <a:avLst/>
          <a:gdLst/>
          <a:ahLst/>
          <a:cxnLst/>
          <a:rect l="0" t="0" r="0" b="0"/>
          <a:pathLst>
            <a:path>
              <a:moveTo>
                <a:pt x="0" y="18160"/>
              </a:moveTo>
              <a:lnTo>
                <a:pt x="588712" y="181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GB" sz="1100" kern="1200">
            <a:latin typeface="Arial" panose="020B0604020202020204" pitchFamily="34" charset="0"/>
            <a:cs typeface="Arial" panose="020B0604020202020204" pitchFamily="34" charset="0"/>
          </a:endParaRPr>
        </a:p>
      </dsp:txBody>
      <dsp:txXfrm rot="10800000">
        <a:off x="2213996" y="1807956"/>
        <a:ext cx="29435" cy="29435"/>
      </dsp:txXfrm>
    </dsp:sp>
    <dsp:sp modelId="{FD502F16-3F1A-44D0-B157-BC92A33E0048}">
      <dsp:nvSpPr>
        <dsp:cNvPr id="0" name=""/>
        <dsp:cNvSpPr/>
      </dsp:nvSpPr>
      <dsp:spPr>
        <a:xfrm>
          <a:off x="948935" y="682780"/>
          <a:ext cx="1178159" cy="1178159"/>
        </a:xfrm>
        <a:prstGeom prst="ellipse">
          <a:avLst/>
        </a:prstGeom>
        <a:solidFill>
          <a:schemeClr val="accent2">
            <a:hueOff val="-1409237"/>
            <a:satOff val="0"/>
            <a:lumOff val="124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Collaborative</a:t>
          </a:r>
        </a:p>
      </dsp:txBody>
      <dsp:txXfrm>
        <a:off x="1121472" y="855317"/>
        <a:ext cx="833085" cy="833085"/>
      </dsp:txXfrm>
    </dsp:sp>
    <dsp:sp modelId="{4CAFC89B-F649-4599-8DE8-7C4F8F84790D}">
      <dsp:nvSpPr>
        <dsp:cNvPr id="0" name=""/>
        <dsp:cNvSpPr/>
      </dsp:nvSpPr>
      <dsp:spPr>
        <a:xfrm rot="10028571">
          <a:off x="1763769" y="2551910"/>
          <a:ext cx="588712" cy="36320"/>
        </a:xfrm>
        <a:custGeom>
          <a:avLst/>
          <a:gdLst/>
          <a:ahLst/>
          <a:cxnLst/>
          <a:rect l="0" t="0" r="0" b="0"/>
          <a:pathLst>
            <a:path>
              <a:moveTo>
                <a:pt x="0" y="18160"/>
              </a:moveTo>
              <a:lnTo>
                <a:pt x="588712" y="181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GB" sz="1100" kern="1200">
            <a:latin typeface="Arial" panose="020B0604020202020204" pitchFamily="34" charset="0"/>
            <a:cs typeface="Arial" panose="020B0604020202020204" pitchFamily="34" charset="0"/>
          </a:endParaRPr>
        </a:p>
      </dsp:txBody>
      <dsp:txXfrm rot="10800000">
        <a:off x="2043407" y="2555352"/>
        <a:ext cx="29435" cy="29435"/>
      </dsp:txXfrm>
    </dsp:sp>
    <dsp:sp modelId="{231F88CF-75F8-401A-8BEC-A9AECDF82A36}">
      <dsp:nvSpPr>
        <dsp:cNvPr id="0" name=""/>
        <dsp:cNvSpPr/>
      </dsp:nvSpPr>
      <dsp:spPr>
        <a:xfrm>
          <a:off x="607759" y="2177573"/>
          <a:ext cx="1178159" cy="1178159"/>
        </a:xfrm>
        <a:prstGeom prst="ellipse">
          <a:avLst/>
        </a:prstGeom>
        <a:solidFill>
          <a:schemeClr val="accent2">
            <a:hueOff val="-2818474"/>
            <a:satOff val="0"/>
            <a:lumOff val="248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Proportionate</a:t>
          </a:r>
        </a:p>
      </dsp:txBody>
      <dsp:txXfrm>
        <a:off x="780296" y="2350110"/>
        <a:ext cx="833085" cy="833085"/>
      </dsp:txXfrm>
    </dsp:sp>
    <dsp:sp modelId="{F2BDD47E-545E-41CB-A2AD-690547F56FFE}">
      <dsp:nvSpPr>
        <dsp:cNvPr id="0" name=""/>
        <dsp:cNvSpPr/>
      </dsp:nvSpPr>
      <dsp:spPr>
        <a:xfrm rot="6942857">
          <a:off x="2241747" y="3151276"/>
          <a:ext cx="588712" cy="36320"/>
        </a:xfrm>
        <a:custGeom>
          <a:avLst/>
          <a:gdLst/>
          <a:ahLst/>
          <a:cxnLst/>
          <a:rect l="0" t="0" r="0" b="0"/>
          <a:pathLst>
            <a:path>
              <a:moveTo>
                <a:pt x="0" y="18160"/>
              </a:moveTo>
              <a:lnTo>
                <a:pt x="588712" y="181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GB" sz="1100" kern="1200">
            <a:latin typeface="Arial" panose="020B0604020202020204" pitchFamily="34" charset="0"/>
            <a:cs typeface="Arial" panose="020B0604020202020204" pitchFamily="34" charset="0"/>
          </a:endParaRPr>
        </a:p>
      </dsp:txBody>
      <dsp:txXfrm rot="10800000">
        <a:off x="2521386" y="3154718"/>
        <a:ext cx="29435" cy="29435"/>
      </dsp:txXfrm>
    </dsp:sp>
    <dsp:sp modelId="{3C68FCA0-A169-4853-8E87-2F7A89F0C719}">
      <dsp:nvSpPr>
        <dsp:cNvPr id="0" name=""/>
        <dsp:cNvSpPr/>
      </dsp:nvSpPr>
      <dsp:spPr>
        <a:xfrm>
          <a:off x="1563715" y="3376304"/>
          <a:ext cx="1178159" cy="1178159"/>
        </a:xfrm>
        <a:prstGeom prst="ellipse">
          <a:avLst/>
        </a:prstGeom>
        <a:solidFill>
          <a:schemeClr val="accent2">
            <a:hueOff val="-4227711"/>
            <a:satOff val="0"/>
            <a:lumOff val="3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baseline="0">
              <a:latin typeface="Arial" panose="020B0604020202020204" pitchFamily="34" charset="0"/>
              <a:cs typeface="Arial" panose="020B0604020202020204" pitchFamily="34" charset="0"/>
            </a:rPr>
            <a:t>Systems based</a:t>
          </a:r>
          <a:endParaRPr lang="en-GB" sz="1100" kern="1200">
            <a:latin typeface="Arial" panose="020B0604020202020204" pitchFamily="34" charset="0"/>
            <a:cs typeface="Arial" panose="020B0604020202020204" pitchFamily="34" charset="0"/>
          </a:endParaRPr>
        </a:p>
      </dsp:txBody>
      <dsp:txXfrm>
        <a:off x="1736252" y="3548841"/>
        <a:ext cx="833085" cy="833085"/>
      </dsp:txXfrm>
    </dsp:sp>
    <dsp:sp modelId="{4CFFD1EA-6CDB-4E07-BD96-4777E7D362AE}">
      <dsp:nvSpPr>
        <dsp:cNvPr id="0" name=""/>
        <dsp:cNvSpPr/>
      </dsp:nvSpPr>
      <dsp:spPr>
        <a:xfrm rot="3857143">
          <a:off x="3008364" y="3151276"/>
          <a:ext cx="588712" cy="36320"/>
        </a:xfrm>
        <a:custGeom>
          <a:avLst/>
          <a:gdLst/>
          <a:ahLst/>
          <a:cxnLst/>
          <a:rect l="0" t="0" r="0" b="0"/>
          <a:pathLst>
            <a:path>
              <a:moveTo>
                <a:pt x="0" y="18160"/>
              </a:moveTo>
              <a:lnTo>
                <a:pt x="588712" y="181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GB" sz="1100" kern="1200">
            <a:latin typeface="Arial" panose="020B0604020202020204" pitchFamily="34" charset="0"/>
            <a:cs typeface="Arial" panose="020B0604020202020204" pitchFamily="34" charset="0"/>
          </a:endParaRPr>
        </a:p>
      </dsp:txBody>
      <dsp:txXfrm>
        <a:off x="3288003" y="3154718"/>
        <a:ext cx="29435" cy="29435"/>
      </dsp:txXfrm>
    </dsp:sp>
    <dsp:sp modelId="{3AD42A2C-A5FB-4870-A68C-B6E46717AEE4}">
      <dsp:nvSpPr>
        <dsp:cNvPr id="0" name=""/>
        <dsp:cNvSpPr/>
      </dsp:nvSpPr>
      <dsp:spPr>
        <a:xfrm>
          <a:off x="3096949" y="3376304"/>
          <a:ext cx="1178159" cy="1178159"/>
        </a:xfrm>
        <a:prstGeom prst="ellipse">
          <a:avLst/>
        </a:prstGeom>
        <a:solidFill>
          <a:schemeClr val="accent2">
            <a:hueOff val="-5636948"/>
            <a:satOff val="0"/>
            <a:lumOff val="496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Timely and responsive</a:t>
          </a:r>
        </a:p>
      </dsp:txBody>
      <dsp:txXfrm>
        <a:off x="3269486" y="3548841"/>
        <a:ext cx="833085" cy="833085"/>
      </dsp:txXfrm>
    </dsp:sp>
    <dsp:sp modelId="{4F3733BB-D1B9-4799-AA78-A36BC5626430}">
      <dsp:nvSpPr>
        <dsp:cNvPr id="0" name=""/>
        <dsp:cNvSpPr/>
      </dsp:nvSpPr>
      <dsp:spPr>
        <a:xfrm rot="771429">
          <a:off x="3486342" y="2551910"/>
          <a:ext cx="588712" cy="36320"/>
        </a:xfrm>
        <a:custGeom>
          <a:avLst/>
          <a:gdLst/>
          <a:ahLst/>
          <a:cxnLst/>
          <a:rect l="0" t="0" r="0" b="0"/>
          <a:pathLst>
            <a:path>
              <a:moveTo>
                <a:pt x="0" y="18160"/>
              </a:moveTo>
              <a:lnTo>
                <a:pt x="588712" y="181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GB" sz="1100" kern="1200">
            <a:latin typeface="Arial" panose="020B0604020202020204" pitchFamily="34" charset="0"/>
            <a:cs typeface="Arial" panose="020B0604020202020204" pitchFamily="34" charset="0"/>
          </a:endParaRPr>
        </a:p>
      </dsp:txBody>
      <dsp:txXfrm>
        <a:off x="3765981" y="2555352"/>
        <a:ext cx="29435" cy="29435"/>
      </dsp:txXfrm>
    </dsp:sp>
    <dsp:sp modelId="{7C6AE6CA-A25B-427F-957B-C1C4E874E1F4}">
      <dsp:nvSpPr>
        <dsp:cNvPr id="0" name=""/>
        <dsp:cNvSpPr/>
      </dsp:nvSpPr>
      <dsp:spPr>
        <a:xfrm>
          <a:off x="4052905" y="2177573"/>
          <a:ext cx="1178159" cy="1178159"/>
        </a:xfrm>
        <a:prstGeom prst="ellipse">
          <a:avLst/>
        </a:prstGeom>
        <a:solidFill>
          <a:schemeClr val="accent2">
            <a:hueOff val="-7046185"/>
            <a:satOff val="0"/>
            <a:lumOff val="620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Objective</a:t>
          </a:r>
        </a:p>
      </dsp:txBody>
      <dsp:txXfrm>
        <a:off x="4225442" y="2350110"/>
        <a:ext cx="833085" cy="833085"/>
      </dsp:txXfrm>
    </dsp:sp>
    <dsp:sp modelId="{45B1AEDB-DCAC-4A76-BE6C-05002399CB05}">
      <dsp:nvSpPr>
        <dsp:cNvPr id="0" name=""/>
        <dsp:cNvSpPr/>
      </dsp:nvSpPr>
      <dsp:spPr>
        <a:xfrm rot="19285714">
          <a:off x="3315754" y="1804513"/>
          <a:ext cx="588712" cy="36320"/>
        </a:xfrm>
        <a:custGeom>
          <a:avLst/>
          <a:gdLst/>
          <a:ahLst/>
          <a:cxnLst/>
          <a:rect l="0" t="0" r="0" b="0"/>
          <a:pathLst>
            <a:path>
              <a:moveTo>
                <a:pt x="0" y="18160"/>
              </a:moveTo>
              <a:lnTo>
                <a:pt x="588712" y="181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GB" sz="1100" kern="1200">
            <a:latin typeface="Arial" panose="020B0604020202020204" pitchFamily="34" charset="0"/>
            <a:cs typeface="Arial" panose="020B0604020202020204" pitchFamily="34" charset="0"/>
          </a:endParaRPr>
        </a:p>
      </dsp:txBody>
      <dsp:txXfrm>
        <a:off x="3595393" y="1807956"/>
        <a:ext cx="29435" cy="29435"/>
      </dsp:txXfrm>
    </dsp:sp>
    <dsp:sp modelId="{8D63F4F5-E980-4BE3-9974-2290E04BF6F3}">
      <dsp:nvSpPr>
        <dsp:cNvPr id="0" name=""/>
        <dsp:cNvSpPr/>
      </dsp:nvSpPr>
      <dsp:spPr>
        <a:xfrm>
          <a:off x="3711729" y="682780"/>
          <a:ext cx="1178159" cy="1178159"/>
        </a:xfrm>
        <a:prstGeom prst="ellipse">
          <a:avLst/>
        </a:prstGeom>
        <a:solidFill>
          <a:schemeClr val="accent2">
            <a:hueOff val="-8455421"/>
            <a:satOff val="0"/>
            <a:lumOff val="7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Preventative</a:t>
          </a:r>
        </a:p>
      </dsp:txBody>
      <dsp:txXfrm>
        <a:off x="3884266" y="855317"/>
        <a:ext cx="833085" cy="8330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23F4DD-34C8-42EF-91A1-6AA5E9E89E4E}">
      <dsp:nvSpPr>
        <dsp:cNvPr id="0" name=""/>
        <dsp:cNvSpPr/>
      </dsp:nvSpPr>
      <dsp:spPr>
        <a:xfrm rot="5400000">
          <a:off x="-231979" y="242262"/>
          <a:ext cx="1546532" cy="1082572"/>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ea typeface="+mn-ea"/>
              <a:cs typeface="Arial" panose="020B0604020202020204" pitchFamily="34" charset="0"/>
            </a:rPr>
            <a:t>Identifying the problem</a:t>
          </a:r>
        </a:p>
      </dsp:txBody>
      <dsp:txXfrm rot="-5400000">
        <a:off x="1" y="551568"/>
        <a:ext cx="1082572" cy="463960"/>
      </dsp:txXfrm>
    </dsp:sp>
    <dsp:sp modelId="{2CC716B1-1E73-4126-B02E-C72D68443D7F}">
      <dsp:nvSpPr>
        <dsp:cNvPr id="0" name=""/>
        <dsp:cNvSpPr/>
      </dsp:nvSpPr>
      <dsp:spPr>
        <a:xfrm rot="5400000">
          <a:off x="2429438" y="-1336582"/>
          <a:ext cx="1005246" cy="369897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latin typeface="Arial" panose="020B0604020202020204" pitchFamily="34" charset="0"/>
              <a:ea typeface="+mn-ea"/>
              <a:cs typeface="Arial" panose="020B0604020202020204" pitchFamily="34" charset="0"/>
            </a:rPr>
            <a:t>The incident is identified</a:t>
          </a:r>
          <a:endParaRPr lang="en-GB" sz="800" kern="1200">
            <a:latin typeface="Arial" panose="020B0604020202020204"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GB" sz="900" kern="1200">
              <a:latin typeface="Arial" panose="020B0604020202020204" pitchFamily="34" charset="0"/>
              <a:ea typeface="+mn-ea"/>
              <a:cs typeface="Arial" panose="020B0604020202020204" pitchFamily="34" charset="0"/>
            </a:rPr>
            <a:t>The need to investigate using systems investgation is recognsied (the scale and scope of investgation is considered) </a:t>
          </a:r>
        </a:p>
        <a:p>
          <a:pPr marL="57150" lvl="1" indent="-57150" algn="l" defTabSz="400050">
            <a:lnSpc>
              <a:spcPct val="90000"/>
            </a:lnSpc>
            <a:spcBef>
              <a:spcPct val="0"/>
            </a:spcBef>
            <a:spcAft>
              <a:spcPct val="15000"/>
            </a:spcAft>
            <a:buChar char="••"/>
          </a:pPr>
          <a:r>
            <a:rPr lang="en-GB" sz="900" kern="1200">
              <a:latin typeface="Arial" panose="020B0604020202020204" pitchFamily="34" charset="0"/>
              <a:ea typeface="+mn-ea"/>
              <a:cs typeface="Arial" panose="020B0604020202020204" pitchFamily="34" charset="0"/>
            </a:rPr>
            <a:t>A Lead Investigator is appointed and an investigation team  is established</a:t>
          </a:r>
        </a:p>
      </dsp:txBody>
      <dsp:txXfrm rot="-5400000">
        <a:off x="1082573" y="59355"/>
        <a:ext cx="3649905" cy="907102"/>
      </dsp:txXfrm>
    </dsp:sp>
    <dsp:sp modelId="{96F67320-AF34-4562-AC1C-2AD6B6D849CA}">
      <dsp:nvSpPr>
        <dsp:cNvPr id="0" name=""/>
        <dsp:cNvSpPr/>
      </dsp:nvSpPr>
      <dsp:spPr>
        <a:xfrm rot="5400000">
          <a:off x="-231979" y="1599007"/>
          <a:ext cx="1546532" cy="1082572"/>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ea typeface="+mn-ea"/>
              <a:cs typeface="Arial" panose="020B0604020202020204" pitchFamily="34" charset="0"/>
            </a:rPr>
            <a:t>Gathering and mapping information</a:t>
          </a:r>
        </a:p>
      </dsp:txBody>
      <dsp:txXfrm rot="-5400000">
        <a:off x="1" y="1908313"/>
        <a:ext cx="1082572" cy="463960"/>
      </dsp:txXfrm>
    </dsp:sp>
    <dsp:sp modelId="{38CF52ED-395C-41A1-9B4C-A186935176AA}">
      <dsp:nvSpPr>
        <dsp:cNvPr id="0" name=""/>
        <dsp:cNvSpPr/>
      </dsp:nvSpPr>
      <dsp:spPr>
        <a:xfrm rot="5400000">
          <a:off x="2383212" y="102264"/>
          <a:ext cx="1097698" cy="369897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latin typeface="Arial" panose="020B0604020202020204" pitchFamily="34" charset="0"/>
              <a:ea typeface="+mn-ea"/>
              <a:cs typeface="Arial" panose="020B0604020202020204" pitchFamily="34" charset="0"/>
            </a:rPr>
            <a:t>The Lead Investigator and investgation team will identify what information/evidence is needed and how this wil be obtained (this may inlcude interviewing people, mapping services, reviewing clinical notes/records and visting the area)</a:t>
          </a:r>
          <a:endParaRPr lang="en-GB" sz="700" kern="1200">
            <a:latin typeface="Arial" panose="020B0604020202020204"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GB" sz="900" kern="1200">
              <a:latin typeface="Arial" panose="020B0604020202020204" pitchFamily="34" charset="0"/>
              <a:ea typeface="+mn-ea"/>
              <a:cs typeface="Arial" panose="020B0604020202020204" pitchFamily="34" charset="0"/>
            </a:rPr>
            <a:t>During and after this phase there will be consideration regarding what went wrong (i.e. the problems: service deliver porblems, care delivery problem/ lapses, acts and omission in care)</a:t>
          </a:r>
        </a:p>
      </dsp:txBody>
      <dsp:txXfrm rot="-5400000">
        <a:off x="1082573" y="1456489"/>
        <a:ext cx="3645392" cy="990528"/>
      </dsp:txXfrm>
    </dsp:sp>
    <dsp:sp modelId="{C91CE79E-F51F-4A60-9C4A-76EA47FF172E}">
      <dsp:nvSpPr>
        <dsp:cNvPr id="0" name=""/>
        <dsp:cNvSpPr/>
      </dsp:nvSpPr>
      <dsp:spPr>
        <a:xfrm rot="5400000">
          <a:off x="-231979" y="3092959"/>
          <a:ext cx="1546532" cy="1082572"/>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Calibri"/>
              <a:ea typeface="+mn-ea"/>
              <a:cs typeface="+mn-cs"/>
            </a:rPr>
            <a:t>Analysising information</a:t>
          </a:r>
        </a:p>
      </dsp:txBody>
      <dsp:txXfrm rot="-5400000">
        <a:off x="1" y="3402265"/>
        <a:ext cx="1082572" cy="463960"/>
      </dsp:txXfrm>
    </dsp:sp>
    <dsp:sp modelId="{398B6A56-15D6-4978-BB47-805A349A5468}">
      <dsp:nvSpPr>
        <dsp:cNvPr id="0" name=""/>
        <dsp:cNvSpPr/>
      </dsp:nvSpPr>
      <dsp:spPr>
        <a:xfrm rot="5400000">
          <a:off x="2429438" y="1513943"/>
          <a:ext cx="1005246" cy="369897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latin typeface="Arial" panose="020B0604020202020204" pitchFamily="34" charset="0"/>
              <a:ea typeface="+mn-ea"/>
              <a:cs typeface="Arial" panose="020B0604020202020204" pitchFamily="34" charset="0"/>
            </a:rPr>
            <a:t>At this stage  the team review the collate information and agree the priorty problems identified (so far) . </a:t>
          </a:r>
        </a:p>
        <a:p>
          <a:pPr marL="57150" lvl="1" indent="-57150" algn="l" defTabSz="400050">
            <a:lnSpc>
              <a:spcPct val="90000"/>
            </a:lnSpc>
            <a:spcBef>
              <a:spcPct val="0"/>
            </a:spcBef>
            <a:spcAft>
              <a:spcPct val="15000"/>
            </a:spcAft>
            <a:buChar char="••"/>
          </a:pPr>
          <a:r>
            <a:rPr lang="en-GB" sz="900" kern="1200">
              <a:latin typeface="Arial" panose="020B0604020202020204" pitchFamily="34" charset="0"/>
              <a:ea typeface="+mn-ea"/>
              <a:cs typeface="Arial" panose="020B0604020202020204" pitchFamily="34" charset="0"/>
            </a:rPr>
            <a:t>Now the team start to analyse the problems  to indentify the undelying problems known as 'contributory factors'. Consideration is then given to which are the root causes/fundemental issues to be addressed. </a:t>
          </a:r>
        </a:p>
      </dsp:txBody>
      <dsp:txXfrm rot="-5400000">
        <a:off x="1082573" y="2909880"/>
        <a:ext cx="3649905" cy="907102"/>
      </dsp:txXfrm>
    </dsp:sp>
    <dsp:sp modelId="{A86136EB-B7F2-4D24-9DE3-DF44B01CCDF6}">
      <dsp:nvSpPr>
        <dsp:cNvPr id="0" name=""/>
        <dsp:cNvSpPr/>
      </dsp:nvSpPr>
      <dsp:spPr>
        <a:xfrm rot="5400000">
          <a:off x="-231979" y="4437794"/>
          <a:ext cx="1546532" cy="1082572"/>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t>Generating solution</a:t>
          </a:r>
        </a:p>
      </dsp:txBody>
      <dsp:txXfrm rot="-5400000">
        <a:off x="1" y="4747100"/>
        <a:ext cx="1082572" cy="463960"/>
      </dsp:txXfrm>
    </dsp:sp>
    <dsp:sp modelId="{302ECAD6-6F94-4EB5-A633-A4B3C3CE6739}">
      <dsp:nvSpPr>
        <dsp:cNvPr id="0" name=""/>
        <dsp:cNvSpPr/>
      </dsp:nvSpPr>
      <dsp:spPr>
        <a:xfrm rot="5400000">
          <a:off x="2429438" y="2863228"/>
          <a:ext cx="1005246" cy="369897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At this stage recommendations are developed that will help to prevent another safety incident (of same kind or similar kind). Recommendations will then be tested/assessed for their ability to provide robust solutions to existing problems. </a:t>
          </a:r>
          <a:r>
            <a:rPr lang="en-GB" sz="900" i="1" kern="1200">
              <a:latin typeface="Arial" panose="020B0604020202020204" pitchFamily="34" charset="0"/>
              <a:cs typeface="Arial" panose="020B0604020202020204" pitchFamily="34" charset="0"/>
            </a:rPr>
            <a:t>Caution: recommendations must be developed with those with budgetary responsibility and understanding  of the wider issues/competing priorities .</a:t>
          </a:r>
        </a:p>
      </dsp:txBody>
      <dsp:txXfrm rot="-5400000">
        <a:off x="1082573" y="4259165"/>
        <a:ext cx="3649905" cy="9071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1" ma:contentTypeDescription="Create a new document." ma:contentTypeScope="" ma:versionID="6f0372cf94b48e3ff03ea2af8d244034">
  <xsd:schema xmlns:xsd="http://www.w3.org/2001/XMLSchema" xmlns:xs="http://www.w3.org/2001/XMLSchema" xmlns:p="http://schemas.microsoft.com/office/2006/metadata/properties" xmlns:ns2="51367701-27c8-403e-a234-85855c5cd73e" xmlns:ns3="11cf67b4-8be8-4203-926d-b1451d6a3644" targetNamespace="http://schemas.microsoft.com/office/2006/metadata/properties" ma:root="true" ma:fieldsID="6ce6b8d50e902b0a5e2178625f1a7f6a" ns2:_="" ns3:_="">
    <xsd:import namespace="51367701-27c8-403e-a234-85855c5cd73e"/>
    <xsd:import namespace="11cf67b4-8be8-4203-926d-b1451d6a36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1CC75-53C5-4DD1-A551-3B72BDC96556}">
  <ds:schemaRefs>
    <ds:schemaRef ds:uri="http://schemas.microsoft.com/sharepoint/v3/contenttype/forms"/>
  </ds:schemaRefs>
</ds:datastoreItem>
</file>

<file path=customXml/itemProps2.xml><?xml version="1.0" encoding="utf-8"?>
<ds:datastoreItem xmlns:ds="http://schemas.openxmlformats.org/officeDocument/2006/customXml" ds:itemID="{B9404F3D-9859-46F4-BAD2-F049C7695C5A}">
  <ds:schemaRefs>
    <ds:schemaRef ds:uri="http://schemas.microsoft.com/sharepoint/events"/>
  </ds:schemaRefs>
</ds:datastoreItem>
</file>

<file path=customXml/itemProps3.xml><?xml version="1.0" encoding="utf-8"?>
<ds:datastoreItem xmlns:ds="http://schemas.openxmlformats.org/officeDocument/2006/customXml" ds:itemID="{7E9609B6-5190-46EB-8DA1-1821B5D00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11cf67b4-8be8-4203-926d-b1451d6a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A3355-2C90-48E3-A5EF-806AD9A9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Template14.dot</Template>
  <TotalTime>0</TotalTime>
  <Pages>90</Pages>
  <Words>29681</Words>
  <Characters>169182</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NHS England policy template 3 - no photo on cover</vt:lpstr>
    </vt:vector>
  </TitlesOfParts>
  <Company>Smith &amp; Milton</Company>
  <LinksUpToDate>false</LinksUpToDate>
  <CharactersWithSpaces>198467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policy template 3 - no photo on cover</dc:title>
  <dc:creator>Sarah Hunter</dc:creator>
  <cp:lastModifiedBy>James Nicholls</cp:lastModifiedBy>
  <cp:revision>2</cp:revision>
  <cp:lastPrinted>2015-03-26T15:27:00Z</cp:lastPrinted>
  <dcterms:created xsi:type="dcterms:W3CDTF">2015-03-27T11:32:00Z</dcterms:created>
  <dcterms:modified xsi:type="dcterms:W3CDTF">2015-03-27T11:32:00Z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df43e85c-3a1a-47ac-b64e-862f208d5e9f</vt:lpwstr>
  </property>
  <property fmtid="{D5CDD505-2E9C-101B-9397-08002B2CF9AE}" pid="4" name="_NewReviewCycle">
    <vt:lpwstr/>
  </property>
</Properties>
</file>