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13"/>
      </w:tblGrid>
      <w:tr w:rsidR="00CC390E">
        <w:trPr>
          <w:cantSplit/>
          <w:tblHeader/>
        </w:trPr>
        <w:tc>
          <w:tcPr>
            <w:tcW w:w="5670" w:type="dxa"/>
            <w:vAlign w:val="center"/>
          </w:tcPr>
          <w:p w:rsidR="00CC390E" w:rsidRDefault="000C2FC0" w:rsidP="000C2FC0">
            <w:pPr>
              <w:pStyle w:val="Kopfzeilemittig"/>
            </w:pPr>
            <w:r>
              <w:t>Dr. U. Paschen QM-Beratung</w:t>
            </w:r>
            <w:r w:rsidR="00CC390E">
              <w:br/>
              <w:t xml:space="preserve">in Medizin und Wissenschaft </w:t>
            </w:r>
            <w:r w:rsidR="00CC390E">
              <w:br/>
              <w:t>QM-Handbuch der „Guten Hospital-Praxis“</w:t>
            </w:r>
          </w:p>
        </w:tc>
        <w:tc>
          <w:tcPr>
            <w:tcW w:w="1814" w:type="dxa"/>
            <w:gridSpan w:val="2"/>
            <w:vAlign w:val="bottom"/>
          </w:tcPr>
          <w:p w:rsidR="00CC390E" w:rsidRDefault="005813A2" w:rsidP="00996A64">
            <w:r>
              <w:rPr>
                <w:noProof/>
              </w:rPr>
              <w:drawing>
                <wp:inline distT="0" distB="0" distL="0" distR="0">
                  <wp:extent cx="1057275" cy="752475"/>
                  <wp:effectExtent l="0" t="0" r="9525" b="9525"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90E">
        <w:trPr>
          <w:gridAfter w:val="1"/>
          <w:wAfter w:w="113" w:type="dxa"/>
          <w:cantSplit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90E" w:rsidRPr="00996A64" w:rsidRDefault="004409AA" w:rsidP="004409AA">
            <w:pPr>
              <w:pStyle w:val="Kasten1"/>
            </w:pPr>
            <w:r w:rsidRPr="004409AA">
              <w:rPr>
                <w:rFonts w:eastAsia="Calibri"/>
                <w:lang w:eastAsia="en-US"/>
              </w:rPr>
              <w:t>Risikomatrix Hernien-Operation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0E" w:rsidRPr="00A74892" w:rsidRDefault="00932BFD">
            <w:pPr>
              <w:pStyle w:val="Kasten2"/>
            </w:pPr>
            <w:r>
              <w:t>9</w:t>
            </w:r>
            <w:r w:rsidR="004409AA">
              <w:t>-530-c</w:t>
            </w:r>
          </w:p>
          <w:p w:rsidR="00CC390E" w:rsidRDefault="00CC390E" w:rsidP="00521F37">
            <w:r>
              <w:t>Version 0</w:t>
            </w:r>
            <w:r w:rsidR="004409AA">
              <w:t>1</w:t>
            </w:r>
          </w:p>
        </w:tc>
      </w:tr>
    </w:tbl>
    <w:p w:rsidR="00CC390E" w:rsidRDefault="00CC390E" w:rsidP="00D92B82">
      <w:pPr>
        <w:pStyle w:val="Kastenunterschrift"/>
      </w:pPr>
      <w:r>
        <w:t>Änderungen gegenüber der letzten Fassung:</w:t>
      </w:r>
    </w:p>
    <w:p w:rsidR="004409AA" w:rsidRPr="004409AA" w:rsidRDefault="004409AA" w:rsidP="004409AA">
      <w:pPr>
        <w:pStyle w:val="berschrift1"/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Gewünschte Ergebnisse</w:t>
      </w:r>
    </w:p>
    <w:p w:rsidR="004409AA" w:rsidRPr="004409AA" w:rsidRDefault="004409AA" w:rsidP="00DA08F3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Dauerhafter Verschluss der Bruchpforte</w:t>
      </w:r>
    </w:p>
    <w:p w:rsidR="004409AA" w:rsidRPr="004409AA" w:rsidRDefault="004409AA" w:rsidP="004409AA">
      <w:pPr>
        <w:pStyle w:val="berschrift1"/>
        <w:rPr>
          <w:rFonts w:eastAsia="Calibri"/>
          <w:lang w:eastAsia="en-US"/>
        </w:rPr>
      </w:pPr>
      <w:r>
        <w:rPr>
          <w:rFonts w:eastAsia="Calibri"/>
          <w:lang w:eastAsia="en-US"/>
        </w:rPr>
        <w:t>Unerwünschte Ereignisse</w:t>
      </w:r>
    </w:p>
    <w:p w:rsidR="004409AA" w:rsidRPr="004409AA" w:rsidRDefault="004409AA" w:rsidP="004409AA">
      <w:pPr>
        <w:pStyle w:val="berschrift2"/>
        <w:rPr>
          <w:rFonts w:eastAsia="Calibri"/>
          <w:lang w:eastAsia="en-US"/>
        </w:rPr>
      </w:pPr>
      <w:r>
        <w:rPr>
          <w:rFonts w:eastAsia="Calibri"/>
          <w:lang w:eastAsia="en-US"/>
        </w:rPr>
        <w:t>Allgemeine UEs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Seitenverwechslung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Thrombose, Embolie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Nachblutung, Wundhämatom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Infektion, tiefe; Infektion, oberflächlich (6 %)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Pneumonie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 xml:space="preserve">Lagerungsschaden (Dekubitus, </w:t>
      </w:r>
      <w:proofErr w:type="spellStart"/>
      <w:r w:rsidRPr="004409AA">
        <w:rPr>
          <w:rFonts w:eastAsia="Calibri"/>
          <w:lang w:eastAsia="en-US"/>
        </w:rPr>
        <w:t>intraop</w:t>
      </w:r>
      <w:proofErr w:type="spellEnd"/>
      <w:r w:rsidRPr="004409AA">
        <w:rPr>
          <w:rFonts w:eastAsia="Calibri"/>
          <w:lang w:eastAsia="en-US"/>
        </w:rPr>
        <w:t xml:space="preserve">., </w:t>
      </w:r>
      <w:proofErr w:type="spellStart"/>
      <w:r w:rsidRPr="004409AA">
        <w:rPr>
          <w:rFonts w:eastAsia="Calibri"/>
          <w:lang w:eastAsia="en-US"/>
        </w:rPr>
        <w:t>postop</w:t>
      </w:r>
      <w:proofErr w:type="spellEnd"/>
      <w:r w:rsidRPr="004409AA">
        <w:rPr>
          <w:rFonts w:eastAsia="Calibri"/>
          <w:lang w:eastAsia="en-US"/>
        </w:rPr>
        <w:t>.)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Nervenschaden (</w:t>
      </w:r>
      <w:proofErr w:type="spellStart"/>
      <w:r w:rsidRPr="004409AA">
        <w:rPr>
          <w:rFonts w:eastAsia="Calibri"/>
          <w:lang w:eastAsia="en-US"/>
        </w:rPr>
        <w:t>Fußheber</w:t>
      </w:r>
      <w:proofErr w:type="spellEnd"/>
      <w:r w:rsidRPr="004409AA">
        <w:rPr>
          <w:rFonts w:eastAsia="Calibri"/>
          <w:lang w:eastAsia="en-US"/>
        </w:rPr>
        <w:t xml:space="preserve">) N. </w:t>
      </w:r>
      <w:proofErr w:type="spellStart"/>
      <w:r w:rsidRPr="004409AA">
        <w:rPr>
          <w:rFonts w:eastAsia="Calibri"/>
          <w:lang w:eastAsia="en-US"/>
        </w:rPr>
        <w:t>peronäus</w:t>
      </w:r>
      <w:proofErr w:type="spellEnd"/>
    </w:p>
    <w:p w:rsidR="004409AA" w:rsidRPr="004409AA" w:rsidRDefault="004409AA" w:rsidP="004409AA">
      <w:pPr>
        <w:pStyle w:val="berschrift2"/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Anästhesie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Brennen bei Infiltra</w:t>
      </w:r>
      <w:r>
        <w:rPr>
          <w:rFonts w:eastAsia="Calibri"/>
          <w:lang w:eastAsia="en-US"/>
        </w:rPr>
        <w:t>t</w:t>
      </w:r>
      <w:r w:rsidRPr="004409AA">
        <w:rPr>
          <w:rFonts w:eastAsia="Calibri"/>
          <w:lang w:eastAsia="en-US"/>
        </w:rPr>
        <w:t>ionsanästhesie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Intravasale Injektion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Unzureichende Schmerzausschaltung</w:t>
      </w:r>
    </w:p>
    <w:p w:rsid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Harnverhalt (bei Regionalanästh</w:t>
      </w:r>
      <w:r>
        <w:rPr>
          <w:rFonts w:eastAsia="Calibri"/>
          <w:lang w:eastAsia="en-US"/>
        </w:rPr>
        <w:t>e</w:t>
      </w:r>
      <w:r w:rsidRPr="004409AA">
        <w:rPr>
          <w:rFonts w:eastAsia="Calibri"/>
          <w:lang w:eastAsia="en-US"/>
        </w:rPr>
        <w:t>sie)</w:t>
      </w:r>
    </w:p>
    <w:p w:rsidR="00DA08F3" w:rsidRDefault="00DA08F3" w:rsidP="004409A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Komplikationen der ITN (siehe dort)</w:t>
      </w:r>
    </w:p>
    <w:p w:rsidR="004409AA" w:rsidRPr="004409AA" w:rsidRDefault="004409AA" w:rsidP="004409AA">
      <w:pPr>
        <w:pStyle w:val="berschrift2"/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Komplikatione</w:t>
      </w:r>
      <w:r w:rsidR="00DA08F3">
        <w:rPr>
          <w:rFonts w:eastAsia="Calibri"/>
          <w:lang w:eastAsia="en-US"/>
        </w:rPr>
        <w:t>n</w:t>
      </w:r>
      <w:r w:rsidRPr="004409AA">
        <w:rPr>
          <w:rFonts w:eastAsia="Calibri"/>
          <w:lang w:eastAsia="en-US"/>
        </w:rPr>
        <w:t xml:space="preserve"> des </w:t>
      </w:r>
      <w:proofErr w:type="spellStart"/>
      <w:r w:rsidRPr="004409AA">
        <w:rPr>
          <w:rFonts w:eastAsia="Calibri"/>
          <w:lang w:eastAsia="en-US"/>
        </w:rPr>
        <w:t>Pneumoperitoneums</w:t>
      </w:r>
      <w:proofErr w:type="spellEnd"/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Blutung 0,31 %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 xml:space="preserve">Verletzung N. </w:t>
      </w:r>
      <w:proofErr w:type="spellStart"/>
      <w:r w:rsidRPr="004409AA">
        <w:rPr>
          <w:rFonts w:eastAsia="Calibri"/>
          <w:lang w:eastAsia="en-US"/>
        </w:rPr>
        <w:t>cutaneus</w:t>
      </w:r>
      <w:proofErr w:type="spellEnd"/>
      <w:r w:rsidRPr="004409AA">
        <w:rPr>
          <w:rFonts w:eastAsia="Calibri"/>
          <w:lang w:eastAsia="en-US"/>
        </w:rPr>
        <w:t xml:space="preserve"> </w:t>
      </w:r>
      <w:proofErr w:type="spellStart"/>
      <w:r w:rsidRPr="004409AA">
        <w:rPr>
          <w:rFonts w:eastAsia="Calibri"/>
          <w:lang w:eastAsia="en-US"/>
        </w:rPr>
        <w:t>femoralis</w:t>
      </w:r>
      <w:proofErr w:type="spellEnd"/>
      <w:r w:rsidRPr="004409AA">
        <w:rPr>
          <w:rFonts w:eastAsia="Calibri"/>
          <w:lang w:eastAsia="en-US"/>
        </w:rPr>
        <w:t xml:space="preserve"> 0,26 %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Läsion Harnblase 0.09 %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Darmverletzung 0,1 %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 xml:space="preserve">Verletzung </w:t>
      </w:r>
      <w:proofErr w:type="spellStart"/>
      <w:r w:rsidRPr="004409AA">
        <w:rPr>
          <w:rFonts w:eastAsia="Calibri"/>
          <w:lang w:eastAsia="en-US"/>
        </w:rPr>
        <w:t>ductus</w:t>
      </w:r>
      <w:proofErr w:type="spellEnd"/>
      <w:r w:rsidRPr="004409AA">
        <w:rPr>
          <w:rFonts w:eastAsia="Calibri"/>
          <w:lang w:eastAsia="en-US"/>
        </w:rPr>
        <w:t xml:space="preserve"> </w:t>
      </w:r>
      <w:proofErr w:type="spellStart"/>
      <w:r w:rsidRPr="004409AA">
        <w:rPr>
          <w:rFonts w:eastAsia="Calibri"/>
          <w:lang w:eastAsia="en-US"/>
        </w:rPr>
        <w:t>deferens</w:t>
      </w:r>
      <w:proofErr w:type="spellEnd"/>
    </w:p>
    <w:p w:rsidR="004409AA" w:rsidRPr="004409AA" w:rsidRDefault="004409AA" w:rsidP="004409AA">
      <w:pPr>
        <w:rPr>
          <w:rFonts w:eastAsia="Calibri"/>
          <w:lang w:eastAsia="en-US"/>
        </w:rPr>
      </w:pPr>
      <w:proofErr w:type="spellStart"/>
      <w:r w:rsidRPr="004409AA">
        <w:rPr>
          <w:rFonts w:eastAsia="Calibri"/>
          <w:lang w:eastAsia="en-US"/>
        </w:rPr>
        <w:t>Dünndarmileus</w:t>
      </w:r>
      <w:proofErr w:type="spellEnd"/>
    </w:p>
    <w:p w:rsidR="004409AA" w:rsidRPr="004409AA" w:rsidRDefault="004409AA" w:rsidP="004409AA">
      <w:pPr>
        <w:pStyle w:val="berschrift2"/>
        <w:rPr>
          <w:rFonts w:eastAsia="Calibri"/>
          <w:lang w:eastAsia="en-US"/>
        </w:rPr>
      </w:pPr>
      <w:r>
        <w:rPr>
          <w:rFonts w:eastAsia="Calibri"/>
          <w:lang w:eastAsia="en-US"/>
        </w:rPr>
        <w:t>Operativ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Netz nicht ausreichend fixiert (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Samenstrang eingeschnürt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lastRenderedPageBreak/>
        <w:t>Nervenläsion mit Sensibilitätsstör</w:t>
      </w:r>
      <w:bookmarkStart w:id="0" w:name="_GoBack"/>
      <w:bookmarkEnd w:id="0"/>
      <w:r w:rsidRPr="004409AA">
        <w:rPr>
          <w:rFonts w:eastAsia="Calibri"/>
          <w:lang w:eastAsia="en-US"/>
        </w:rPr>
        <w:t xml:space="preserve">ung  (N </w:t>
      </w:r>
      <w:proofErr w:type="spellStart"/>
      <w:r w:rsidRPr="004409AA">
        <w:rPr>
          <w:rFonts w:eastAsia="Calibri"/>
          <w:lang w:eastAsia="en-US"/>
        </w:rPr>
        <w:t>iliohypogastricus</w:t>
      </w:r>
      <w:proofErr w:type="spellEnd"/>
      <w:r w:rsidRPr="004409AA">
        <w:rPr>
          <w:rFonts w:eastAsia="Calibri"/>
          <w:lang w:eastAsia="en-US"/>
        </w:rPr>
        <w:t xml:space="preserve">, </w:t>
      </w:r>
      <w:proofErr w:type="spellStart"/>
      <w:r w:rsidRPr="004409AA">
        <w:rPr>
          <w:rFonts w:eastAsia="Calibri"/>
          <w:lang w:eastAsia="en-US"/>
        </w:rPr>
        <w:t>ileoinguinalis</w:t>
      </w:r>
      <w:proofErr w:type="spellEnd"/>
      <w:r w:rsidRPr="004409AA">
        <w:rPr>
          <w:rFonts w:eastAsia="Calibri"/>
          <w:lang w:eastAsia="en-US"/>
        </w:rPr>
        <w:t xml:space="preserve">, </w:t>
      </w:r>
      <w:proofErr w:type="spellStart"/>
      <w:r w:rsidRPr="004409AA">
        <w:rPr>
          <w:rFonts w:eastAsia="Calibri"/>
          <w:lang w:eastAsia="en-US"/>
        </w:rPr>
        <w:t>genitofemoralis</w:t>
      </w:r>
      <w:proofErr w:type="spellEnd"/>
      <w:r w:rsidRPr="004409AA">
        <w:rPr>
          <w:rFonts w:eastAsia="Calibri"/>
          <w:lang w:eastAsia="en-US"/>
        </w:rPr>
        <w:t xml:space="preserve">) mit Hyp- oder </w:t>
      </w:r>
      <w:proofErr w:type="spellStart"/>
      <w:r w:rsidRPr="004409AA">
        <w:rPr>
          <w:rFonts w:eastAsia="Calibri"/>
          <w:lang w:eastAsia="en-US"/>
        </w:rPr>
        <w:t>Hyperäthesie</w:t>
      </w:r>
      <w:proofErr w:type="spellEnd"/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Plug-Wanderung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Plug perforiert Harnblase, Darm mit Darmfistel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 xml:space="preserve">Verletzung </w:t>
      </w:r>
      <w:proofErr w:type="spellStart"/>
      <w:r w:rsidRPr="004409AA">
        <w:rPr>
          <w:rFonts w:eastAsia="Calibri"/>
          <w:lang w:eastAsia="en-US"/>
        </w:rPr>
        <w:t>iliakaler</w:t>
      </w:r>
      <w:proofErr w:type="spellEnd"/>
      <w:r w:rsidRPr="004409AA">
        <w:rPr>
          <w:rFonts w:eastAsia="Calibri"/>
          <w:lang w:eastAsia="en-US"/>
        </w:rPr>
        <w:t xml:space="preserve"> und </w:t>
      </w:r>
      <w:proofErr w:type="spellStart"/>
      <w:r w:rsidRPr="004409AA">
        <w:rPr>
          <w:rFonts w:eastAsia="Calibri"/>
          <w:lang w:eastAsia="en-US"/>
        </w:rPr>
        <w:t>femoraler</w:t>
      </w:r>
      <w:proofErr w:type="spellEnd"/>
      <w:r w:rsidRPr="004409AA">
        <w:rPr>
          <w:rFonts w:eastAsia="Calibri"/>
          <w:lang w:eastAsia="en-US"/>
        </w:rPr>
        <w:t xml:space="preserve"> Gefäße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Durchtrennung des Samenstranges mit ischämischer Orchitis</w:t>
      </w:r>
    </w:p>
    <w:p w:rsidR="004409AA" w:rsidRPr="004409AA" w:rsidRDefault="004409AA" w:rsidP="004409AA">
      <w:pPr>
        <w:rPr>
          <w:rFonts w:eastAsia="Calibri"/>
          <w:lang w:eastAsia="en-US"/>
        </w:rPr>
      </w:pPr>
      <w:proofErr w:type="spellStart"/>
      <w:r w:rsidRPr="004409AA">
        <w:rPr>
          <w:rFonts w:eastAsia="Calibri"/>
          <w:lang w:eastAsia="en-US"/>
        </w:rPr>
        <w:t>Serom</w:t>
      </w:r>
      <w:proofErr w:type="spellEnd"/>
      <w:r w:rsidRPr="004409AA">
        <w:rPr>
          <w:rFonts w:eastAsia="Calibri"/>
          <w:lang w:eastAsia="en-US"/>
        </w:rPr>
        <w:t xml:space="preserve"> (0,5 – 12,2 %)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Hämatom(5,6 – 16 %</w:t>
      </w:r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Naht-Granulome (SCHLOFFER-Tumoren)</w:t>
      </w:r>
    </w:p>
    <w:p w:rsidR="004409AA" w:rsidRPr="004409AA" w:rsidRDefault="004409AA" w:rsidP="004409AA">
      <w:pPr>
        <w:rPr>
          <w:rFonts w:eastAsia="Calibri"/>
          <w:lang w:eastAsia="en-US"/>
        </w:rPr>
      </w:pPr>
      <w:proofErr w:type="spellStart"/>
      <w:r w:rsidRPr="004409AA">
        <w:rPr>
          <w:rFonts w:eastAsia="Calibri"/>
          <w:lang w:eastAsia="en-US"/>
        </w:rPr>
        <w:t>Serom</w:t>
      </w:r>
      <w:proofErr w:type="spellEnd"/>
    </w:p>
    <w:p w:rsidR="004409AA" w:rsidRPr="004409AA" w:rsidRDefault="004409AA" w:rsidP="004409AA">
      <w:pPr>
        <w:rPr>
          <w:rFonts w:eastAsia="Calibri"/>
          <w:lang w:eastAsia="en-US"/>
        </w:rPr>
      </w:pPr>
      <w:r w:rsidRPr="004409AA">
        <w:rPr>
          <w:rFonts w:eastAsia="Calibri"/>
          <w:lang w:eastAsia="en-US"/>
        </w:rPr>
        <w:t>Wund- und Netzinfektion 10%</w:t>
      </w:r>
    </w:p>
    <w:p w:rsidR="007F30F2" w:rsidRDefault="004409AA" w:rsidP="004409AA">
      <w:pPr>
        <w:pStyle w:val="berschrift2"/>
      </w:pPr>
      <w:r>
        <w:t>Postoperativ, nachstationär</w:t>
      </w:r>
    </w:p>
    <w:p w:rsidR="004409AA" w:rsidRDefault="004409AA" w:rsidP="004409AA">
      <w:r>
        <w:t xml:space="preserve">Akut </w:t>
      </w:r>
      <w:proofErr w:type="spellStart"/>
      <w:r>
        <w:t>testikulärer</w:t>
      </w:r>
      <w:proofErr w:type="spellEnd"/>
      <w:r>
        <w:t xml:space="preserve"> Schmerz)</w:t>
      </w:r>
    </w:p>
    <w:p w:rsidR="004409AA" w:rsidRDefault="004409AA" w:rsidP="004409AA">
      <w:r>
        <w:t>Postoperativer Schmerz</w:t>
      </w:r>
    </w:p>
    <w:p w:rsidR="007F30F2" w:rsidRDefault="004409AA" w:rsidP="00D92B82">
      <w:r>
        <w:t>Chronisch (12 %)</w:t>
      </w:r>
    </w:p>
    <w:p w:rsidR="00CC390E" w:rsidRDefault="00D92B82" w:rsidP="002575AE">
      <w:pPr>
        <w:pStyle w:val="Freigabevermerk"/>
      </w:pPr>
      <w:r w:rsidRPr="002575AE">
        <w:t>Freigabevermerk</w:t>
      </w:r>
    </w:p>
    <w:p w:rsidR="00D92B82" w:rsidRDefault="00D92B82" w:rsidP="002575AE">
      <w:pPr>
        <w:pStyle w:val="Pfadangabe"/>
      </w:pPr>
      <w:r>
        <w:t>Pfad:</w:t>
      </w:r>
    </w:p>
    <w:p w:rsidR="00A74892" w:rsidRDefault="00CC390E" w:rsidP="00A74892">
      <w:r>
        <w:t>Hamburg, den</w:t>
      </w:r>
      <w:r>
        <w:tab/>
      </w:r>
      <w:r w:rsidR="004409AA">
        <w:t xml:space="preserve"> 2016-08-20</w:t>
      </w:r>
      <w:r>
        <w:tab/>
      </w:r>
      <w:r>
        <w:tab/>
      </w:r>
      <w:r>
        <w:tab/>
      </w:r>
      <w:r>
        <w:tab/>
      </w:r>
      <w:r>
        <w:tab/>
        <w:t>Autor</w:t>
      </w:r>
    </w:p>
    <w:sectPr w:rsidR="00A74892" w:rsidSect="00AE5F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2268" w:bottom="1418" w:left="2268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88" w:rsidRDefault="00211588">
      <w:pPr>
        <w:spacing w:after="0" w:line="240" w:lineRule="auto"/>
      </w:pPr>
      <w:r>
        <w:separator/>
      </w:r>
    </w:p>
  </w:endnote>
  <w:endnote w:type="continuationSeparator" w:id="0">
    <w:p w:rsidR="00211588" w:rsidRDefault="0021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23" w:rsidRDefault="00F14823">
    <w:pPr>
      <w:pStyle w:val="Fuzeile"/>
      <w:tabs>
        <w:tab w:val="clear" w:pos="4536"/>
        <w:tab w:val="center" w:pos="793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23" w:rsidRDefault="00F14823">
    <w:pPr>
      <w:pStyle w:val="Fuzeile"/>
    </w:pPr>
    <w:r>
      <w:rPr>
        <w:vertAlign w:val="superscript"/>
      </w:rPr>
      <w:sym w:font="Symbol" w:char="F0D3"/>
    </w:r>
    <w:r w:rsidR="000C2FC0">
      <w:t>U. Paschen</w:t>
    </w:r>
    <w:r>
      <w:t xml:space="preserve"> 20</w:t>
    </w:r>
    <w:r w:rsidR="002575AE">
      <w:t>1</w:t>
    </w:r>
    <w:r w:rsidR="000C2FC0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88" w:rsidRDefault="00211588">
      <w:pPr>
        <w:spacing w:after="0" w:line="240" w:lineRule="auto"/>
      </w:pPr>
      <w:r>
        <w:separator/>
      </w:r>
    </w:p>
  </w:footnote>
  <w:footnote w:type="continuationSeparator" w:id="0">
    <w:p w:rsidR="00211588" w:rsidRDefault="0021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23" w:rsidRPr="00996A64" w:rsidRDefault="00F14823" w:rsidP="00C14F46">
    <w:pPr>
      <w:pStyle w:val="Kopfzeilemittig"/>
    </w:pPr>
    <w:r>
      <w:t>GHP</w:t>
    </w:r>
    <w:r>
      <w:rPr>
        <w:vertAlign w:val="superscript"/>
      </w:rPr>
      <w:sym w:font="Symbol" w:char="F0E2"/>
    </w:r>
    <w:r>
      <w:t xml:space="preserve"> 20</w:t>
    </w:r>
    <w:r w:rsidR="002575AE">
      <w:t>1</w:t>
    </w:r>
    <w:r w:rsidR="004409AA">
      <w:t>6</w:t>
    </w:r>
    <w:r>
      <w:t xml:space="preserve"> </w:t>
    </w:r>
    <w:r w:rsidR="00144350">
      <w:t xml:space="preserve">9-530c </w:t>
    </w:r>
    <w:r>
      <w:t>Version 0</w:t>
    </w:r>
    <w:r w:rsidR="004409AA">
      <w:t>1</w:t>
    </w:r>
    <w:r>
      <w:t xml:space="preserve"> </w:t>
    </w:r>
    <w:r>
      <w:rPr>
        <w:rStyle w:val="Seitenzahl"/>
      </w:rPr>
      <w:t xml:space="preserve">Seite </w:t>
    </w:r>
    <w:r w:rsidR="00AE5FB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E5FB6">
      <w:rPr>
        <w:rStyle w:val="Seitenzahl"/>
      </w:rPr>
      <w:fldChar w:fldCharType="separate"/>
    </w:r>
    <w:r w:rsidR="00144350">
      <w:rPr>
        <w:rStyle w:val="Seitenzahl"/>
        <w:noProof/>
      </w:rPr>
      <w:t>2</w:t>
    </w:r>
    <w:r w:rsidR="00AE5FB6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23" w:rsidRDefault="00F14823">
    <w:pPr>
      <w:ind w:right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2B7E76"/>
    <w:multiLevelType w:val="multilevel"/>
    <w:tmpl w:val="93745D3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1405FC"/>
    <w:multiLevelType w:val="multilevel"/>
    <w:tmpl w:val="DFA6823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A646B1"/>
    <w:multiLevelType w:val="multilevel"/>
    <w:tmpl w:val="8F02A5F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AA"/>
    <w:rsid w:val="0002188D"/>
    <w:rsid w:val="000C2FC0"/>
    <w:rsid w:val="00144350"/>
    <w:rsid w:val="00211588"/>
    <w:rsid w:val="002575AE"/>
    <w:rsid w:val="00310EE3"/>
    <w:rsid w:val="003C2039"/>
    <w:rsid w:val="004409AA"/>
    <w:rsid w:val="004F366B"/>
    <w:rsid w:val="00521F37"/>
    <w:rsid w:val="005813A2"/>
    <w:rsid w:val="00624C8B"/>
    <w:rsid w:val="00681544"/>
    <w:rsid w:val="007526F7"/>
    <w:rsid w:val="007F30F2"/>
    <w:rsid w:val="00884B87"/>
    <w:rsid w:val="00932BFD"/>
    <w:rsid w:val="00956332"/>
    <w:rsid w:val="00996A64"/>
    <w:rsid w:val="00A44A99"/>
    <w:rsid w:val="00A74892"/>
    <w:rsid w:val="00AE5FB6"/>
    <w:rsid w:val="00B92286"/>
    <w:rsid w:val="00C14F46"/>
    <w:rsid w:val="00CC390E"/>
    <w:rsid w:val="00CE43ED"/>
    <w:rsid w:val="00D92B82"/>
    <w:rsid w:val="00DA08F3"/>
    <w:rsid w:val="00E4057D"/>
    <w:rsid w:val="00F14823"/>
    <w:rsid w:val="00F204A4"/>
    <w:rsid w:val="00F3524E"/>
    <w:rsid w:val="00F430DB"/>
    <w:rsid w:val="00F76F46"/>
    <w:rsid w:val="00FB517B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4F4C8"/>
  <w15:docId w15:val="{A1894A26-3361-47A4-B1BD-1A31D8F6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75AE"/>
    <w:pPr>
      <w:spacing w:after="60" w:line="320" w:lineRule="atLeast"/>
      <w:jc w:val="both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2575AE"/>
    <w:pPr>
      <w:keepNext/>
      <w:numPr>
        <w:numId w:val="39"/>
      </w:numPr>
      <w:tabs>
        <w:tab w:val="left" w:pos="567"/>
      </w:tabs>
      <w:spacing w:before="120"/>
      <w:jc w:val="left"/>
      <w:outlineLvl w:val="0"/>
    </w:pPr>
    <w:rPr>
      <w:rFonts w:ascii="AvantGarde Bk BT" w:hAnsi="AvantGarde Bk BT"/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2575AE"/>
    <w:pPr>
      <w:keepNext/>
      <w:numPr>
        <w:ilvl w:val="1"/>
        <w:numId w:val="39"/>
      </w:numPr>
      <w:spacing w:before="80" w:line="280" w:lineRule="atLeast"/>
      <w:jc w:val="left"/>
      <w:outlineLvl w:val="1"/>
    </w:pPr>
    <w:rPr>
      <w:rFonts w:ascii="AvantGarde Bk BT" w:hAnsi="AvantGarde Bk BT"/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2575AE"/>
    <w:pPr>
      <w:keepNext/>
      <w:numPr>
        <w:ilvl w:val="2"/>
        <w:numId w:val="39"/>
      </w:numPr>
      <w:tabs>
        <w:tab w:val="left" w:pos="851"/>
      </w:tabs>
      <w:spacing w:before="80" w:line="280" w:lineRule="atLeast"/>
      <w:jc w:val="left"/>
      <w:outlineLvl w:val="2"/>
    </w:pPr>
    <w:rPr>
      <w:rFonts w:ascii="AvantGarde Bk BT" w:hAnsi="AvantGarde Bk BT"/>
      <w:sz w:val="24"/>
      <w:szCs w:val="24"/>
    </w:rPr>
  </w:style>
  <w:style w:type="paragraph" w:styleId="berschrift4">
    <w:name w:val="heading 4"/>
    <w:basedOn w:val="Standard"/>
    <w:next w:val="Standard"/>
    <w:qFormat/>
    <w:rsid w:val="002575AE"/>
    <w:pPr>
      <w:keepNext/>
      <w:numPr>
        <w:ilvl w:val="3"/>
        <w:numId w:val="39"/>
      </w:numPr>
      <w:spacing w:before="80" w:line="260" w:lineRule="atLeast"/>
      <w:outlineLvl w:val="3"/>
    </w:pPr>
    <w:rPr>
      <w:rFonts w:ascii="AvantGarde Bk BT" w:hAnsi="AvantGarde Bk BT"/>
      <w:szCs w:val="22"/>
    </w:rPr>
  </w:style>
  <w:style w:type="paragraph" w:styleId="berschrift5">
    <w:name w:val="heading 5"/>
    <w:basedOn w:val="Standard"/>
    <w:next w:val="Standard"/>
    <w:qFormat/>
    <w:rsid w:val="002575AE"/>
    <w:pPr>
      <w:numPr>
        <w:ilvl w:val="4"/>
        <w:numId w:val="39"/>
      </w:numPr>
      <w:spacing w:before="40" w:after="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2575AE"/>
    <w:pPr>
      <w:numPr>
        <w:ilvl w:val="5"/>
        <w:numId w:val="39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berschrift8"/>
    <w:next w:val="Standard"/>
    <w:qFormat/>
    <w:rsid w:val="002575AE"/>
    <w:pPr>
      <w:numPr>
        <w:ilvl w:val="0"/>
        <w:numId w:val="0"/>
      </w:numPr>
      <w:outlineLvl w:val="6"/>
    </w:pPr>
  </w:style>
  <w:style w:type="paragraph" w:styleId="berschrift8">
    <w:name w:val="heading 8"/>
    <w:basedOn w:val="Standard"/>
    <w:next w:val="Standard"/>
    <w:qFormat/>
    <w:rsid w:val="002575AE"/>
    <w:pPr>
      <w:numPr>
        <w:ilvl w:val="7"/>
        <w:numId w:val="39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2575AE"/>
    <w:pPr>
      <w:numPr>
        <w:ilvl w:val="8"/>
        <w:numId w:val="39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F430DB"/>
  </w:style>
  <w:style w:type="paragraph" w:customStyle="1" w:styleId="Pfadangabe">
    <w:name w:val="Pfadangabe"/>
    <w:basedOn w:val="Standard"/>
    <w:rsid w:val="00E4057D"/>
    <w:pPr>
      <w:spacing w:before="240" w:after="240" w:line="240" w:lineRule="auto"/>
      <w:jc w:val="left"/>
    </w:pPr>
    <w:rPr>
      <w:sz w:val="16"/>
    </w:rPr>
  </w:style>
  <w:style w:type="paragraph" w:styleId="Textkrper">
    <w:name w:val="Body Text"/>
    <w:basedOn w:val="Standard"/>
    <w:autoRedefine/>
    <w:qFormat/>
    <w:rsid w:val="00A44A99"/>
    <w:pPr>
      <w:spacing w:after="0" w:line="280" w:lineRule="atLeast"/>
    </w:pPr>
  </w:style>
  <w:style w:type="paragraph" w:customStyle="1" w:styleId="Freigabevermerk">
    <w:name w:val="Freigabevermerk"/>
    <w:basedOn w:val="Standard"/>
    <w:autoRedefine/>
    <w:qFormat/>
    <w:rsid w:val="002575AE"/>
    <w:pPr>
      <w:pBdr>
        <w:top w:val="single" w:sz="4" w:space="1" w:color="auto"/>
      </w:pBdr>
      <w:spacing w:before="80" w:after="40" w:line="240" w:lineRule="atLeast"/>
      <w:jc w:val="left"/>
    </w:pPr>
  </w:style>
  <w:style w:type="paragraph" w:customStyle="1" w:styleId="Kasten2">
    <w:name w:val="Kasten_2"/>
    <w:basedOn w:val="Standard"/>
    <w:qFormat/>
    <w:rsid w:val="00F3524E"/>
    <w:pPr>
      <w:spacing w:before="120" w:after="120" w:line="240" w:lineRule="auto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IQ-Kopf">
    <w:name w:val="IQ-Kopf"/>
    <w:basedOn w:val="Standard"/>
    <w:next w:val="Standard"/>
    <w:rsid w:val="00996A64"/>
    <w:pPr>
      <w:spacing w:line="280" w:lineRule="atLeast"/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next w:val="Textkrper"/>
    <w:qFormat/>
    <w:rsid w:val="00F3524E"/>
    <w:pPr>
      <w:spacing w:before="120" w:after="120" w:line="280" w:lineRule="atLeast"/>
      <w:jc w:val="center"/>
    </w:pPr>
    <w:rPr>
      <w:rFonts w:ascii="AvantGarde Bk BT" w:hAnsi="AvantGarde Bk BT"/>
      <w:b/>
      <w:sz w:val="28"/>
      <w:szCs w:val="28"/>
    </w:rPr>
  </w:style>
  <w:style w:type="paragraph" w:customStyle="1" w:styleId="Kastenunterschrift">
    <w:name w:val="Kastenunterschrift"/>
    <w:basedOn w:val="Standard"/>
    <w:next w:val="Standard"/>
    <w:qFormat/>
    <w:rsid w:val="002575AE"/>
    <w:pPr>
      <w:pBdr>
        <w:bottom w:val="single" w:sz="4" w:space="1" w:color="auto"/>
      </w:pBdr>
      <w:spacing w:before="40" w:after="80" w:line="240" w:lineRule="atLeast"/>
      <w:jc w:val="left"/>
    </w:pPr>
    <w:rPr>
      <w:sz w:val="24"/>
    </w:rPr>
  </w:style>
  <w:style w:type="paragraph" w:customStyle="1" w:styleId="Kopfzeilemittig">
    <w:name w:val="Kopfzeile_mittig"/>
    <w:basedOn w:val="Standard"/>
    <w:qFormat/>
    <w:rsid w:val="00996A64"/>
    <w:pPr>
      <w:spacing w:after="120"/>
      <w:jc w:val="center"/>
    </w:pPr>
    <w:rPr>
      <w:rFonts w:ascii="AvantGarde Bk BT" w:hAnsi="AvantGarde Bk BT"/>
      <w:szCs w:val="22"/>
    </w:rPr>
  </w:style>
  <w:style w:type="paragraph" w:styleId="Fuzeile">
    <w:name w:val="footer"/>
    <w:basedOn w:val="Standard"/>
    <w:qFormat/>
    <w:rsid w:val="00F430DB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styleId="Kopfzeile">
    <w:name w:val="header"/>
    <w:basedOn w:val="Standard"/>
    <w:rsid w:val="00F76F4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C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SOPsVAs\GHP_UP_DokIn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GHP_UP_DokInf</Template>
  <TotalTime>0</TotalTime>
  <Pages>2</Pages>
  <Words>155</Words>
  <Characters>1309</Characters>
  <Application>Microsoft Office Word</Application>
  <DocSecurity>0</DocSecurity>
  <Lines>45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eine Verfahrensanweisung der GHP</vt:lpstr>
    </vt:vector>
  </TitlesOfParts>
  <Company>IQ Institut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eine Verfahrensanweisung der GHP</dc:title>
  <dc:subject>IQ-format</dc:subject>
  <dc:creator>IQ-1</dc:creator>
  <cp:lastModifiedBy>User</cp:lastModifiedBy>
  <cp:revision>4</cp:revision>
  <cp:lastPrinted>1999-03-10T11:18:00Z</cp:lastPrinted>
  <dcterms:created xsi:type="dcterms:W3CDTF">2016-09-13T11:42:00Z</dcterms:created>
  <dcterms:modified xsi:type="dcterms:W3CDTF">2017-10-17T10:45:00Z</dcterms:modified>
</cp:coreProperties>
</file>