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  <w:gridCol w:w="1842"/>
      </w:tblGrid>
      <w:tr w:rsidR="004057FB" w14:paraId="016BFDF9" w14:textId="77777777" w:rsidTr="000B71C3">
        <w:trPr>
          <w:cantSplit/>
          <w:tblHeader/>
        </w:trPr>
        <w:tc>
          <w:tcPr>
            <w:tcW w:w="5529" w:type="dxa"/>
            <w:vAlign w:val="center"/>
          </w:tcPr>
          <w:p w14:paraId="732A51B4" w14:textId="77777777" w:rsidR="004057FB" w:rsidRDefault="000B71C3" w:rsidP="008F7CBD">
            <w:pPr>
              <w:pStyle w:val="IQ-Kopf"/>
            </w:pPr>
            <w:r w:rsidRPr="00D9393E">
              <w:rPr>
                <w:sz w:val="28"/>
                <w:szCs w:val="28"/>
              </w:rPr>
              <w:t>Dr. U. Paschen QM-Beratung</w:t>
            </w:r>
            <w:r w:rsidR="004057FB">
              <w:t xml:space="preserve"> </w:t>
            </w:r>
            <w:r w:rsidR="004057FB">
              <w:br/>
              <w:t>in Medizin und Wissenschaft</w:t>
            </w:r>
            <w:r w:rsidR="004057FB">
              <w:br/>
            </w:r>
            <w:proofErr w:type="spellStart"/>
            <w:r w:rsidR="004057FB">
              <w:t>Diagnostic</w:t>
            </w:r>
            <w:proofErr w:type="spellEnd"/>
            <w:r w:rsidR="004057FB">
              <w:t xml:space="preserve"> </w:t>
            </w:r>
            <w:proofErr w:type="spellStart"/>
            <w:r w:rsidR="008F7CBD">
              <w:t>Pathways</w:t>
            </w:r>
            <w:proofErr w:type="spellEnd"/>
          </w:p>
        </w:tc>
        <w:tc>
          <w:tcPr>
            <w:tcW w:w="1842" w:type="dxa"/>
            <w:vAlign w:val="bottom"/>
          </w:tcPr>
          <w:p w14:paraId="398D6BC4" w14:textId="77777777" w:rsidR="004057FB" w:rsidRDefault="001931F5" w:rsidP="000B71C3">
            <w:pPr>
              <w:pStyle w:val="IQ-Kopf"/>
              <w:ind w:right="-151"/>
              <w:jc w:val="left"/>
            </w:pPr>
            <w:r>
              <w:rPr>
                <w:noProof/>
              </w:rPr>
              <w:drawing>
                <wp:inline distT="0" distB="0" distL="0" distR="0" wp14:anchorId="51F45702" wp14:editId="25BAB86D">
                  <wp:extent cx="1076325" cy="752475"/>
                  <wp:effectExtent l="0" t="0" r="0" b="0"/>
                  <wp:docPr id="28" name="Bild 28" descr="C:\Users\User\Pictures\QM_logo_klei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Pictures\QM_logo_klei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7FB" w14:paraId="5534D46B" w14:textId="77777777" w:rsidTr="000B71C3">
        <w:trPr>
          <w:cantSplit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ADCAD" w14:textId="534E301B" w:rsidR="004057FB" w:rsidRDefault="006D4D4B" w:rsidP="008F7CBD">
            <w:pPr>
              <w:pStyle w:val="Kasten1"/>
            </w:pPr>
            <w:proofErr w:type="spellStart"/>
            <w:r>
              <w:t>Hämoptyse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9A91" w14:textId="77777777" w:rsidR="004057FB" w:rsidRDefault="008F7CBD">
            <w:pPr>
              <w:pStyle w:val="Kasten2"/>
              <w:rPr>
                <w:sz w:val="32"/>
              </w:rPr>
            </w:pPr>
            <w:r>
              <w:rPr>
                <w:sz w:val="32"/>
              </w:rPr>
              <w:t>DPW</w:t>
            </w:r>
            <w:r w:rsidR="004057FB">
              <w:rPr>
                <w:sz w:val="32"/>
              </w:rPr>
              <w:t>/</w:t>
            </w:r>
          </w:p>
          <w:p w14:paraId="296650C1" w14:textId="77777777" w:rsidR="004057FB" w:rsidRDefault="004057FB">
            <w:pPr>
              <w:pStyle w:val="Version"/>
            </w:pPr>
            <w:r>
              <w:t>Version 01</w:t>
            </w:r>
          </w:p>
        </w:tc>
      </w:tr>
    </w:tbl>
    <w:p w14:paraId="66C5E177" w14:textId="77777777" w:rsidR="004057FB" w:rsidRPr="004057FB" w:rsidRDefault="004057FB">
      <w:pPr>
        <w:pStyle w:val="Kastenunterschrift"/>
        <w:pBdr>
          <w:bottom w:val="single" w:sz="4" w:space="1" w:color="auto"/>
        </w:pBdr>
        <w:rPr>
          <w:sz w:val="16"/>
          <w:szCs w:val="16"/>
        </w:rPr>
      </w:pPr>
      <w:r w:rsidRPr="004057FB">
        <w:rPr>
          <w:sz w:val="16"/>
          <w:szCs w:val="16"/>
        </w:rPr>
        <w:t>Änderungen gegenüber der letzten Fassung:</w:t>
      </w:r>
    </w:p>
    <w:p w14:paraId="50676ED7" w14:textId="77777777" w:rsidR="008F7CBD" w:rsidRDefault="008F7CBD" w:rsidP="008F7CBD">
      <w:pPr>
        <w:pStyle w:val="berschrift1"/>
      </w:pPr>
      <w:r>
        <w:t>Definiti</w:t>
      </w:r>
      <w:r w:rsidR="000B71C3">
        <w:t>ve Beschreibung</w:t>
      </w:r>
    </w:p>
    <w:p w14:paraId="2B141B6D" w14:textId="77777777" w:rsidR="008F7CBD" w:rsidRDefault="008F7CBD" w:rsidP="008F7CBD"/>
    <w:p w14:paraId="3D6CFEF6" w14:textId="77777777" w:rsidR="008F7CBD" w:rsidRDefault="008F7CBD" w:rsidP="008F7CBD">
      <w:pPr>
        <w:pStyle w:val="berschrift1"/>
      </w:pPr>
      <w:r>
        <w:t>Symptomatik</w:t>
      </w:r>
    </w:p>
    <w:p w14:paraId="197DFF75" w14:textId="77777777" w:rsidR="000B71C3" w:rsidRDefault="000B71C3" w:rsidP="000B71C3">
      <w:pPr>
        <w:pStyle w:val="berschrift2"/>
      </w:pPr>
      <w:r>
        <w:t>Symptom</w:t>
      </w:r>
    </w:p>
    <w:p w14:paraId="11BDE80D" w14:textId="77777777" w:rsidR="000B71C3" w:rsidRDefault="000B71C3" w:rsidP="000B71C3"/>
    <w:p w14:paraId="3D7BE535" w14:textId="77777777" w:rsidR="000B71C3" w:rsidRDefault="000B71C3" w:rsidP="000B71C3">
      <w:pPr>
        <w:pStyle w:val="berschrift2"/>
      </w:pPr>
      <w:r>
        <w:t>Auftreten, Inzidenz</w:t>
      </w:r>
    </w:p>
    <w:p w14:paraId="5514FBB8" w14:textId="77777777" w:rsidR="000B71C3" w:rsidRPr="000B71C3" w:rsidRDefault="000B71C3" w:rsidP="000B71C3"/>
    <w:p w14:paraId="2109970A" w14:textId="77777777" w:rsidR="008F7CBD" w:rsidRDefault="008F7CBD" w:rsidP="008F7CBD">
      <w:r>
        <w:t xml:space="preserve"> </w:t>
      </w:r>
    </w:p>
    <w:p w14:paraId="07F42245" w14:textId="77777777" w:rsidR="008F7CBD" w:rsidRDefault="008F7CBD" w:rsidP="008F7CBD">
      <w:pPr>
        <w:pStyle w:val="berschrift1"/>
      </w:pPr>
      <w:r>
        <w:t>Weitere Datensammlung</w:t>
      </w:r>
    </w:p>
    <w:p w14:paraId="3BD3570E" w14:textId="77777777" w:rsidR="008F7CBD" w:rsidRDefault="000B71C3" w:rsidP="000B71C3">
      <w:pPr>
        <w:pStyle w:val="berschrift2"/>
      </w:pPr>
      <w:r>
        <w:t>Anamnese</w:t>
      </w:r>
    </w:p>
    <w:p w14:paraId="35BF9173" w14:textId="77777777" w:rsidR="000B71C3" w:rsidRDefault="000B71C3" w:rsidP="000B71C3">
      <w:pPr>
        <w:pStyle w:val="berschrift2"/>
      </w:pPr>
      <w:r>
        <w:t>Befundanalyse</w:t>
      </w:r>
    </w:p>
    <w:p w14:paraId="113BA8B2" w14:textId="77777777" w:rsidR="000B71C3" w:rsidRDefault="000B71C3" w:rsidP="000B71C3">
      <w:pPr>
        <w:pStyle w:val="berschrift2"/>
      </w:pPr>
      <w:r>
        <w:t>Klinische Untersuchung</w:t>
      </w:r>
    </w:p>
    <w:p w14:paraId="38C365D1" w14:textId="77777777" w:rsidR="008F7CBD" w:rsidRDefault="008F7CBD" w:rsidP="008F7CBD">
      <w:pPr>
        <w:pStyle w:val="berschrift1"/>
      </w:pPr>
      <w:r>
        <w:t>Differentialdiagnostische Überlegungen</w:t>
      </w:r>
    </w:p>
    <w:p w14:paraId="3B25E2C2" w14:textId="77777777" w:rsidR="008F7CBD" w:rsidRDefault="000B71C3" w:rsidP="000B71C3">
      <w:pPr>
        <w:pStyle w:val="berschrift2"/>
      </w:pPr>
      <w:r>
        <w:t>Pathophysiologie des Symptoms</w:t>
      </w:r>
      <w:r w:rsidR="008F7CBD">
        <w:t>:</w:t>
      </w:r>
    </w:p>
    <w:p w14:paraId="37791288" w14:textId="77777777" w:rsidR="008F7CBD" w:rsidRDefault="008F7CBD" w:rsidP="008F7CBD">
      <w:pPr>
        <w:pStyle w:val="berschrift2"/>
      </w:pPr>
      <w:r>
        <w:t>Sympathetisch</w:t>
      </w:r>
    </w:p>
    <w:p w14:paraId="3AC8AE05" w14:textId="77777777" w:rsidR="000B71C3" w:rsidRDefault="000B71C3" w:rsidP="000B71C3"/>
    <w:p w14:paraId="3FC8BBA6" w14:textId="77777777" w:rsidR="000B71C3" w:rsidRDefault="000B71C3" w:rsidP="000B71C3">
      <w:pPr>
        <w:pStyle w:val="berschrift2"/>
      </w:pPr>
      <w:r>
        <w:t>Mechanisch, traumatisch</w:t>
      </w:r>
    </w:p>
    <w:p w14:paraId="12D3B43C" w14:textId="77777777" w:rsidR="000B71C3" w:rsidRDefault="000B71C3" w:rsidP="000B71C3"/>
    <w:p w14:paraId="5EB62EF9" w14:textId="77777777" w:rsidR="000B71C3" w:rsidRDefault="000B71C3" w:rsidP="000B71C3">
      <w:pPr>
        <w:pStyle w:val="berschrift2"/>
      </w:pPr>
      <w:proofErr w:type="spellStart"/>
      <w:r>
        <w:t>Vasculär</w:t>
      </w:r>
      <w:proofErr w:type="spellEnd"/>
    </w:p>
    <w:p w14:paraId="0E34E3BF" w14:textId="77777777" w:rsidR="000B71C3" w:rsidRPr="000B71C3" w:rsidRDefault="000B71C3" w:rsidP="000B71C3"/>
    <w:p w14:paraId="1E11CF56" w14:textId="77777777" w:rsidR="000B71C3" w:rsidRPr="000B71C3" w:rsidRDefault="000B71C3" w:rsidP="000B71C3">
      <w:pPr>
        <w:pStyle w:val="berschrift2"/>
      </w:pPr>
      <w:r>
        <w:t>Allergisch (entzündlich, ohne bekannten Erreger)</w:t>
      </w:r>
    </w:p>
    <w:p w14:paraId="2C4BCB85" w14:textId="77777777" w:rsidR="008F7CBD" w:rsidRPr="008F7CBD" w:rsidRDefault="008F7CBD" w:rsidP="008F7CBD"/>
    <w:p w14:paraId="72CB6669" w14:textId="77777777" w:rsidR="008F7CBD" w:rsidRDefault="008F7CBD" w:rsidP="008F7CBD">
      <w:pPr>
        <w:pStyle w:val="berschrift2"/>
      </w:pPr>
      <w:r>
        <w:t>Entzündlich:</w:t>
      </w:r>
    </w:p>
    <w:p w14:paraId="0024B3B9" w14:textId="77777777" w:rsidR="008F7CBD" w:rsidRPr="008F7CBD" w:rsidRDefault="008F7CBD" w:rsidP="008F7CBD">
      <w:r w:rsidRPr="008F7CBD">
        <w:t>- Bakteriell:</w:t>
      </w:r>
    </w:p>
    <w:p w14:paraId="1B0F7123" w14:textId="77777777" w:rsidR="008F7CBD" w:rsidRPr="008F7CBD" w:rsidRDefault="008F7CBD" w:rsidP="008F7CBD">
      <w:pPr>
        <w:ind w:firstLine="708"/>
      </w:pPr>
    </w:p>
    <w:p w14:paraId="3A7416A5" w14:textId="77777777" w:rsidR="008F7CBD" w:rsidRDefault="008F7CBD" w:rsidP="008F7CBD">
      <w:pPr>
        <w:rPr>
          <w:lang w:val="en-GB"/>
        </w:rPr>
      </w:pPr>
      <w:r>
        <w:rPr>
          <w:lang w:val="en-GB"/>
        </w:rPr>
        <w:t>- viral</w:t>
      </w:r>
    </w:p>
    <w:p w14:paraId="12959262" w14:textId="77777777" w:rsidR="008F7CBD" w:rsidRDefault="008F7CBD" w:rsidP="008F7CBD">
      <w:pPr>
        <w:rPr>
          <w:lang w:val="en-GB"/>
        </w:rPr>
      </w:pPr>
      <w:r>
        <w:rPr>
          <w:lang w:val="en-GB"/>
        </w:rPr>
        <w:t>- fungal:</w:t>
      </w:r>
    </w:p>
    <w:p w14:paraId="0F1D764C" w14:textId="77777777" w:rsidR="008F7CBD" w:rsidRPr="008F7CBD" w:rsidRDefault="008F7CBD" w:rsidP="008F7CBD">
      <w:pPr>
        <w:rPr>
          <w:lang w:val="en-US"/>
        </w:rPr>
      </w:pPr>
      <w:r w:rsidRPr="008F7CBD">
        <w:rPr>
          <w:lang w:val="en-US"/>
        </w:rPr>
        <w:lastRenderedPageBreak/>
        <w:t xml:space="preserve">- </w:t>
      </w:r>
      <w:proofErr w:type="spellStart"/>
      <w:r w:rsidRPr="008F7CBD">
        <w:rPr>
          <w:lang w:val="en-US"/>
        </w:rPr>
        <w:t>Parasiten</w:t>
      </w:r>
      <w:proofErr w:type="spellEnd"/>
      <w:r w:rsidRPr="008F7CBD">
        <w:rPr>
          <w:lang w:val="en-US"/>
        </w:rPr>
        <w:t>:</w:t>
      </w:r>
    </w:p>
    <w:p w14:paraId="784FFA07" w14:textId="77777777" w:rsidR="000B71C3" w:rsidRDefault="000B71C3" w:rsidP="008F7CBD">
      <w:pPr>
        <w:pStyle w:val="berschrift2"/>
        <w:rPr>
          <w:lang w:val="it-IT"/>
        </w:rPr>
      </w:pPr>
      <w:proofErr w:type="spellStart"/>
      <w:r>
        <w:rPr>
          <w:lang w:val="it-IT"/>
        </w:rPr>
        <w:t>Toxisch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medikamentös</w:t>
      </w:r>
      <w:proofErr w:type="spellEnd"/>
    </w:p>
    <w:p w14:paraId="2F37D621" w14:textId="77777777" w:rsidR="000B71C3" w:rsidRDefault="000B71C3" w:rsidP="000B71C3">
      <w:pPr>
        <w:rPr>
          <w:lang w:val="it-IT"/>
        </w:rPr>
      </w:pPr>
    </w:p>
    <w:p w14:paraId="0C1E85EF" w14:textId="77777777" w:rsidR="000B71C3" w:rsidRDefault="000B71C3" w:rsidP="000B71C3">
      <w:pPr>
        <w:pStyle w:val="berschrift2"/>
        <w:rPr>
          <w:lang w:val="it-IT"/>
        </w:rPr>
      </w:pPr>
      <w:proofErr w:type="spellStart"/>
      <w:r>
        <w:rPr>
          <w:lang w:val="it-IT"/>
        </w:rPr>
        <w:t>Metabolisch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endokrin</w:t>
      </w:r>
      <w:proofErr w:type="spellEnd"/>
    </w:p>
    <w:p w14:paraId="0A04E26B" w14:textId="77777777" w:rsidR="000B71C3" w:rsidRDefault="000B71C3" w:rsidP="000B71C3">
      <w:pPr>
        <w:rPr>
          <w:lang w:val="it-IT"/>
        </w:rPr>
      </w:pPr>
    </w:p>
    <w:p w14:paraId="786EC602" w14:textId="77777777" w:rsidR="000B71C3" w:rsidRDefault="000B71C3" w:rsidP="000B71C3">
      <w:pPr>
        <w:pStyle w:val="berschrift2"/>
        <w:rPr>
          <w:lang w:val="it-IT"/>
        </w:rPr>
      </w:pPr>
      <w:proofErr w:type="spellStart"/>
      <w:r>
        <w:rPr>
          <w:lang w:val="it-IT"/>
        </w:rPr>
        <w:t>Strahlung</w:t>
      </w:r>
      <w:proofErr w:type="spellEnd"/>
    </w:p>
    <w:p w14:paraId="4CAF4232" w14:textId="77777777" w:rsidR="000B71C3" w:rsidRDefault="000B71C3" w:rsidP="000B71C3">
      <w:pPr>
        <w:rPr>
          <w:lang w:val="it-IT"/>
        </w:rPr>
      </w:pPr>
    </w:p>
    <w:p w14:paraId="7A8B6196" w14:textId="77777777" w:rsidR="000B71C3" w:rsidRDefault="000B71C3" w:rsidP="000B71C3">
      <w:pPr>
        <w:pStyle w:val="berschrift2"/>
        <w:rPr>
          <w:lang w:val="it-IT"/>
        </w:rPr>
      </w:pPr>
      <w:proofErr w:type="spellStart"/>
      <w:r>
        <w:rPr>
          <w:lang w:val="it-IT"/>
        </w:rPr>
        <w:t>Chronisch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degenerativ</w:t>
      </w:r>
      <w:proofErr w:type="spellEnd"/>
    </w:p>
    <w:p w14:paraId="502BA722" w14:textId="77777777" w:rsidR="000B71C3" w:rsidRPr="000B71C3" w:rsidRDefault="000B71C3" w:rsidP="000B71C3">
      <w:pPr>
        <w:rPr>
          <w:lang w:val="it-IT"/>
        </w:rPr>
      </w:pPr>
    </w:p>
    <w:p w14:paraId="35B7B611" w14:textId="77777777" w:rsidR="000B71C3" w:rsidRDefault="000B71C3" w:rsidP="000B71C3">
      <w:pPr>
        <w:pStyle w:val="berschrift2"/>
        <w:rPr>
          <w:lang w:val="it-IT"/>
        </w:rPr>
      </w:pPr>
      <w:proofErr w:type="spellStart"/>
      <w:r>
        <w:rPr>
          <w:lang w:val="it-IT"/>
        </w:rPr>
        <w:t>Neuromuskulär</w:t>
      </w:r>
      <w:proofErr w:type="spellEnd"/>
    </w:p>
    <w:p w14:paraId="63D08789" w14:textId="77777777" w:rsidR="000B71C3" w:rsidRPr="000B71C3" w:rsidRDefault="000B71C3" w:rsidP="000B71C3">
      <w:pPr>
        <w:rPr>
          <w:lang w:val="it-IT"/>
        </w:rPr>
      </w:pPr>
    </w:p>
    <w:p w14:paraId="51EC790C" w14:textId="77777777" w:rsidR="008F7CBD" w:rsidRDefault="000B71C3" w:rsidP="008F7CBD">
      <w:pPr>
        <w:pStyle w:val="berschrift2"/>
        <w:rPr>
          <w:lang w:val="it-IT"/>
        </w:rPr>
      </w:pPr>
      <w:proofErr w:type="spellStart"/>
      <w:r>
        <w:rPr>
          <w:lang w:val="it-IT"/>
        </w:rPr>
        <w:t>Neubildung</w:t>
      </w:r>
      <w:proofErr w:type="spellEnd"/>
    </w:p>
    <w:p w14:paraId="77EC98DF" w14:textId="77777777" w:rsidR="008F7CBD" w:rsidRDefault="008F7CBD" w:rsidP="008F7CBD">
      <w:pPr>
        <w:ind w:firstLine="708"/>
      </w:pPr>
    </w:p>
    <w:p w14:paraId="4AB1A935" w14:textId="77777777" w:rsidR="008F7CBD" w:rsidRDefault="008F7CBD" w:rsidP="000B71C3">
      <w:pPr>
        <w:pStyle w:val="berschrift1"/>
      </w:pPr>
      <w:r>
        <w:t xml:space="preserve">Differentialdiagnose: </w:t>
      </w:r>
    </w:p>
    <w:p w14:paraId="1CB53C62" w14:textId="77777777" w:rsidR="008F7CBD" w:rsidRDefault="000B71C3" w:rsidP="000B71C3">
      <w:pPr>
        <w:pStyle w:val="berschrift2"/>
      </w:pPr>
      <w:r>
        <w:t>Untersuchungsablauf</w:t>
      </w:r>
    </w:p>
    <w:p w14:paraId="6FDA452E" w14:textId="77777777" w:rsidR="000B71C3" w:rsidRPr="000B71C3" w:rsidRDefault="000B71C3" w:rsidP="000B71C3"/>
    <w:p w14:paraId="239CDDCA" w14:textId="77777777" w:rsidR="008F7CBD" w:rsidRDefault="008F7CBD" w:rsidP="008F7CBD">
      <w:pPr>
        <w:pStyle w:val="berschrift2"/>
      </w:pPr>
      <w:r>
        <w:t>Weiterführende Untersuchungsmethoden:</w:t>
      </w:r>
    </w:p>
    <w:p w14:paraId="53F54D66" w14:textId="77777777" w:rsidR="008F7CBD" w:rsidRDefault="008F7CBD" w:rsidP="008F7CBD"/>
    <w:p w14:paraId="04A712AE" w14:textId="77777777" w:rsidR="001931F5" w:rsidRDefault="001931F5" w:rsidP="001931F5">
      <w:pPr>
        <w:pStyle w:val="berschrift1"/>
      </w:pPr>
      <w:r>
        <w:t>Symptombezogene Behandlung</w:t>
      </w:r>
    </w:p>
    <w:p w14:paraId="188461C6" w14:textId="77777777" w:rsidR="001931F5" w:rsidRDefault="001931F5" w:rsidP="001931F5">
      <w:pPr>
        <w:pStyle w:val="berschrift1"/>
      </w:pPr>
      <w:r>
        <w:t>Literatur</w:t>
      </w:r>
    </w:p>
    <w:p w14:paraId="29A7A420" w14:textId="77777777" w:rsidR="001931F5" w:rsidRDefault="001931F5" w:rsidP="001931F5">
      <w:r w:rsidRPr="001052CD">
        <w:t>W. Jabs; J. Kühn Leitsymptome Innere Medizin vom Symptom zur Diagnose Universität Lübeck 2006 abgerufen am 2018-06-06  http://www.innere2-luebeck.uk-sh.de/uksh_media/Dateien_Kliniken_Institute+/L%C3%BCbeck+Campuszentrum+/Med2_HL/Dokumente/Lernzielkatalog+f%C3%BCr+PJ.PDF</w:t>
      </w:r>
    </w:p>
    <w:p w14:paraId="1F502623" w14:textId="77777777" w:rsidR="001931F5" w:rsidRDefault="001931F5" w:rsidP="001931F5"/>
    <w:p w14:paraId="3EB0AE66" w14:textId="77777777" w:rsidR="002D4B41" w:rsidRDefault="002D4B41" w:rsidP="002D4B41">
      <w:r>
        <w:t xml:space="preserve">Handlungsalgorithmus: Abklärung von </w:t>
      </w:r>
      <w:proofErr w:type="spellStart"/>
      <w:r>
        <w:t>Hämoptysen</w:t>
      </w:r>
      <w:proofErr w:type="spellEnd"/>
      <w:r>
        <w:t xml:space="preserve"> in der klinischen Akut- und Notfallmedizin</w:t>
      </w:r>
    </w:p>
    <w:p w14:paraId="1B1F4929" w14:textId="77777777" w:rsidR="002D4B41" w:rsidRPr="002D4B41" w:rsidRDefault="002D4B41" w:rsidP="002D4B41">
      <w:pPr>
        <w:rPr>
          <w:lang w:val="en-GB"/>
        </w:rPr>
      </w:pPr>
      <w:r w:rsidRPr="002D4B41">
        <w:rPr>
          <w:lang w:val="en-GB"/>
        </w:rPr>
        <w:t xml:space="preserve">Action algorithm: assessment of </w:t>
      </w:r>
      <w:proofErr w:type="spellStart"/>
      <w:r w:rsidRPr="002D4B41">
        <w:rPr>
          <w:lang w:val="en-GB"/>
        </w:rPr>
        <w:t>hemoptysis</w:t>
      </w:r>
      <w:proofErr w:type="spellEnd"/>
      <w:r w:rsidRPr="002D4B41">
        <w:rPr>
          <w:lang w:val="en-GB"/>
        </w:rPr>
        <w:t xml:space="preserve"> in acute and emergency medicine</w:t>
      </w:r>
    </w:p>
    <w:p w14:paraId="1A467606" w14:textId="77777777" w:rsidR="002D4B41" w:rsidRPr="002D4B41" w:rsidRDefault="002D4B41" w:rsidP="002D4B41">
      <w:pPr>
        <w:rPr>
          <w:lang w:val="en-GB"/>
        </w:rPr>
      </w:pPr>
    </w:p>
    <w:p w14:paraId="1C2A8CA3" w14:textId="77777777" w:rsidR="002D4B41" w:rsidRPr="002D4B41" w:rsidRDefault="002D4B41" w:rsidP="002D4B41">
      <w:pPr>
        <w:rPr>
          <w:lang w:val="en-GB"/>
        </w:rPr>
      </w:pPr>
      <w:proofErr w:type="spellStart"/>
      <w:r w:rsidRPr="002D4B41">
        <w:rPr>
          <w:lang w:val="en-GB"/>
        </w:rPr>
        <w:t>Handlungsalgorithmen</w:t>
      </w:r>
      <w:proofErr w:type="spellEnd"/>
    </w:p>
    <w:p w14:paraId="2762157E" w14:textId="77777777" w:rsidR="002D4B41" w:rsidRPr="002D4B41" w:rsidRDefault="002D4B41" w:rsidP="002D4B41">
      <w:pPr>
        <w:rPr>
          <w:lang w:val="en-GB"/>
        </w:rPr>
      </w:pPr>
      <w:r w:rsidRPr="002D4B41">
        <w:rPr>
          <w:lang w:val="en-GB"/>
        </w:rPr>
        <w:t>Published: 20 August 2025</w:t>
      </w:r>
    </w:p>
    <w:p w14:paraId="78DF592A" w14:textId="77777777" w:rsidR="002D4B41" w:rsidRPr="002D4B41" w:rsidRDefault="002D4B41" w:rsidP="002D4B41">
      <w:pPr>
        <w:rPr>
          <w:lang w:val="en-GB"/>
        </w:rPr>
      </w:pPr>
      <w:r w:rsidRPr="002D4B41">
        <w:rPr>
          <w:lang w:val="en-GB"/>
        </w:rPr>
        <w:t>Volume 120, pages 680–681, (2025)</w:t>
      </w:r>
    </w:p>
    <w:p w14:paraId="0ED36510" w14:textId="77777777" w:rsidR="002D4B41" w:rsidRPr="002D4B41" w:rsidRDefault="002D4B41" w:rsidP="001931F5">
      <w:pPr>
        <w:rPr>
          <w:lang w:val="en-GB"/>
        </w:rPr>
      </w:pPr>
    </w:p>
    <w:p w14:paraId="60D3BD44" w14:textId="77777777" w:rsidR="001931F5" w:rsidRDefault="001931F5" w:rsidP="001931F5">
      <w:pPr>
        <w:pStyle w:val="berschrift1"/>
      </w:pPr>
      <w:r>
        <w:t>Anlagen</w:t>
      </w:r>
    </w:p>
    <w:p w14:paraId="3610CE84" w14:textId="77777777" w:rsidR="001931F5" w:rsidRDefault="001931F5" w:rsidP="008F7CBD"/>
    <w:p w14:paraId="3DCF7E9C" w14:textId="77777777" w:rsidR="004057FB" w:rsidRDefault="004057FB">
      <w:pPr>
        <w:pBdr>
          <w:bottom w:val="single" w:sz="4" w:space="1" w:color="auto"/>
        </w:pBdr>
      </w:pPr>
    </w:p>
    <w:p w14:paraId="5C390CA6" w14:textId="77777777" w:rsidR="004057FB" w:rsidRDefault="004057FB" w:rsidP="004057FB">
      <w:pPr>
        <w:pStyle w:val="text"/>
      </w:pPr>
      <w:r>
        <w:t xml:space="preserve">Pfad: </w:t>
      </w:r>
      <w:fldSimple w:instr=" FILENAME  \p ">
        <w:r w:rsidR="001931F5">
          <w:rPr>
            <w:noProof/>
          </w:rPr>
          <w:t>Dokument1</w:t>
        </w:r>
      </w:fldSimple>
    </w:p>
    <w:p w14:paraId="13A71E50" w14:textId="77777777" w:rsidR="004057FB" w:rsidRDefault="004057FB">
      <w:pPr>
        <w:jc w:val="left"/>
        <w:rPr>
          <w:sz w:val="24"/>
        </w:rPr>
      </w:pPr>
    </w:p>
    <w:p w14:paraId="0D42AD05" w14:textId="77777777" w:rsidR="004057FB" w:rsidRDefault="004057FB">
      <w:pPr>
        <w:jc w:val="left"/>
        <w:rPr>
          <w:sz w:val="24"/>
        </w:rPr>
      </w:pPr>
      <w:r>
        <w:rPr>
          <w:sz w:val="24"/>
        </w:rPr>
        <w:t>Hamburg, den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Autor</w:t>
      </w:r>
    </w:p>
    <w:sectPr w:rsidR="004057F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85" w:right="2268" w:bottom="1418" w:left="2268" w:header="1134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2C91" w14:textId="77777777" w:rsidR="0027252D" w:rsidRDefault="0027252D">
      <w:pPr>
        <w:spacing w:after="0" w:line="240" w:lineRule="auto"/>
      </w:pPr>
      <w:r>
        <w:separator/>
      </w:r>
    </w:p>
  </w:endnote>
  <w:endnote w:type="continuationSeparator" w:id="0">
    <w:p w14:paraId="79F45547" w14:textId="77777777" w:rsidR="0027252D" w:rsidRDefault="0027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CAF1" w14:textId="77777777" w:rsidR="004057FB" w:rsidRDefault="004057FB">
    <w:pPr>
      <w:pStyle w:val="Fuzeile"/>
      <w:tabs>
        <w:tab w:val="clear" w:pos="4536"/>
        <w:tab w:val="center" w:pos="793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3144" w14:textId="77777777" w:rsidR="004057FB" w:rsidRDefault="004057FB">
    <w:pPr>
      <w:pStyle w:val="Fuzeile"/>
    </w:pPr>
    <w:r>
      <w:rPr>
        <w:vertAlign w:val="superscript"/>
      </w:rPr>
      <w:sym w:font="Symbol" w:char="F0D3"/>
    </w:r>
    <w:r>
      <w:t>IQ-Institut 2003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1E10" w14:textId="77777777" w:rsidR="0027252D" w:rsidRDefault="0027252D">
      <w:pPr>
        <w:spacing w:after="0" w:line="240" w:lineRule="auto"/>
      </w:pPr>
      <w:r>
        <w:separator/>
      </w:r>
    </w:p>
  </w:footnote>
  <w:footnote w:type="continuationSeparator" w:id="0">
    <w:p w14:paraId="7BA70A0E" w14:textId="77777777" w:rsidR="0027252D" w:rsidRDefault="0027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790" w14:textId="77777777" w:rsidR="004057FB" w:rsidRDefault="004057FB">
    <w:pPr>
      <w:pStyle w:val="Kopfzeile"/>
    </w:pPr>
    <w:r>
      <w:t>GHP</w:t>
    </w:r>
    <w:r w:rsidRPr="004057FB">
      <w:rPr>
        <w:vertAlign w:val="superscript"/>
      </w:rPr>
      <w:t xml:space="preserve"> ®</w:t>
    </w:r>
    <w:r>
      <w:t xml:space="preserve"> </w:t>
    </w:r>
    <w:proofErr w:type="spellStart"/>
    <w:r>
      <w:t>Diagnostic</w:t>
    </w:r>
    <w:proofErr w:type="spellEnd"/>
    <w:r>
      <w:t xml:space="preserve"> </w:t>
    </w:r>
    <w:proofErr w:type="spellStart"/>
    <w:r w:rsidR="008F7CBD">
      <w:t>Pathways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1485" w14:textId="77777777" w:rsidR="004057FB" w:rsidRDefault="004057FB">
    <w:pPr>
      <w:pStyle w:val="Kopfzeile"/>
      <w:tabs>
        <w:tab w:val="clear" w:pos="4536"/>
      </w:tabs>
      <w:ind w:right="42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3921982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9A646B1"/>
    <w:multiLevelType w:val="multilevel"/>
    <w:tmpl w:val="E0F4B30C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BB139B"/>
    <w:multiLevelType w:val="hybridMultilevel"/>
    <w:tmpl w:val="3EB4D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6583">
    <w:abstractNumId w:val="0"/>
  </w:num>
  <w:num w:numId="2" w16cid:durableId="184936580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34918675">
    <w:abstractNumId w:val="2"/>
  </w:num>
  <w:num w:numId="4" w16cid:durableId="1886217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C3"/>
    <w:rsid w:val="000B71C3"/>
    <w:rsid w:val="00120899"/>
    <w:rsid w:val="001931F5"/>
    <w:rsid w:val="00193CF5"/>
    <w:rsid w:val="0027252D"/>
    <w:rsid w:val="002D4B41"/>
    <w:rsid w:val="004057FB"/>
    <w:rsid w:val="005D06D2"/>
    <w:rsid w:val="006D4D4B"/>
    <w:rsid w:val="008F7CBD"/>
    <w:rsid w:val="00CB384F"/>
    <w:rsid w:val="00EE41F7"/>
    <w:rsid w:val="00F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313DD"/>
  <w15:docId w15:val="{A3498891-159A-4587-BBA2-2183EB0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0" w:line="320" w:lineRule="atLeast"/>
      <w:jc w:val="both"/>
    </w:pPr>
    <w:rPr>
      <w:sz w:val="28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tabs>
        <w:tab w:val="clear" w:pos="360"/>
        <w:tab w:val="left" w:pos="567"/>
      </w:tabs>
      <w:spacing w:before="60" w:after="20" w:line="240" w:lineRule="auto"/>
      <w:jc w:val="left"/>
      <w:outlineLvl w:val="0"/>
    </w:pPr>
    <w:rPr>
      <w:rFonts w:ascii="Arial" w:hAnsi="Arial"/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before="40" w:after="20" w:line="240" w:lineRule="auto"/>
      <w:jc w:val="left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clear" w:pos="720"/>
        <w:tab w:val="left" w:pos="851"/>
      </w:tabs>
      <w:spacing w:before="80" w:after="0" w:line="240" w:lineRule="auto"/>
      <w:jc w:val="left"/>
      <w:outlineLvl w:val="2"/>
    </w:pPr>
    <w:rPr>
      <w:rFonts w:ascii="Arial" w:hAnsi="Arial"/>
      <w:sz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40" w:after="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40" w:after="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pPr>
      <w:spacing w:before="60" w:line="240" w:lineRule="auto"/>
    </w:pPr>
    <w:rPr>
      <w:sz w:val="20"/>
    </w:rPr>
  </w:style>
  <w:style w:type="paragraph" w:styleId="Textkrper">
    <w:name w:val="Body Text"/>
    <w:basedOn w:val="Standard"/>
  </w:style>
  <w:style w:type="paragraph" w:customStyle="1" w:styleId="Kasten2">
    <w:name w:val="Kasten_2"/>
    <w:basedOn w:val="Standard"/>
    <w:pPr>
      <w:spacing w:before="240" w:after="0" w:line="240" w:lineRule="auto"/>
      <w:jc w:val="center"/>
    </w:pPr>
    <w:rPr>
      <w:rFonts w:ascii="Arial" w:hAnsi="Arial"/>
      <w:b/>
      <w:sz w:val="24"/>
    </w:rPr>
  </w:style>
  <w:style w:type="paragraph" w:customStyle="1" w:styleId="IQ-Kopf">
    <w:name w:val="IQ-Kopf"/>
    <w:basedOn w:val="Standard"/>
    <w:next w:val="Standard"/>
    <w:pPr>
      <w:spacing w:line="280" w:lineRule="atLeast"/>
      <w:jc w:val="center"/>
    </w:pPr>
    <w:rPr>
      <w:rFonts w:ascii="AvantGarde Bk BT" w:hAnsi="AvantGarde Bk BT"/>
      <w:sz w:val="24"/>
    </w:rPr>
  </w:style>
  <w:style w:type="paragraph" w:customStyle="1" w:styleId="Kasten1">
    <w:name w:val="Kasten_1"/>
    <w:basedOn w:val="Standard"/>
    <w:pPr>
      <w:spacing w:before="120" w:after="120" w:line="240" w:lineRule="auto"/>
      <w:jc w:val="center"/>
    </w:pPr>
    <w:rPr>
      <w:rFonts w:ascii="Arial" w:hAnsi="Arial"/>
      <w:b/>
      <w:sz w:val="32"/>
    </w:rPr>
  </w:style>
  <w:style w:type="paragraph" w:customStyle="1" w:styleId="Kastenunterschrift">
    <w:name w:val="Kastenunterschrift"/>
    <w:basedOn w:val="Standard"/>
    <w:next w:val="Standard"/>
    <w:pPr>
      <w:spacing w:before="120" w:after="40" w:line="240" w:lineRule="auto"/>
      <w:jc w:val="left"/>
    </w:pPr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  <w:jc w:val="center"/>
    </w:pPr>
    <w:rPr>
      <w:rFonts w:ascii="AvantGarde Bk BT" w:hAnsi="AvantGarde Bk BT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center"/>
    </w:pPr>
    <w:rPr>
      <w:rFonts w:ascii="AvantGarde Bk BT" w:hAnsi="AvantGarde Bk BT"/>
      <w:sz w:val="20"/>
    </w:rPr>
  </w:style>
  <w:style w:type="paragraph" w:customStyle="1" w:styleId="Definition">
    <w:name w:val="Definition"/>
    <w:basedOn w:val="Standard"/>
    <w:next w:val="Textkrper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before="40" w:after="0" w:line="240" w:lineRule="auto"/>
      <w:jc w:val="left"/>
    </w:pPr>
    <w:rPr>
      <w:rFonts w:ascii="Arial" w:hAnsi="Arial"/>
      <w:i/>
    </w:rPr>
  </w:style>
  <w:style w:type="paragraph" w:customStyle="1" w:styleId="Anlage">
    <w:name w:val="Anlage"/>
    <w:basedOn w:val="berschrift3"/>
    <w:pPr>
      <w:numPr>
        <w:ilvl w:val="0"/>
        <w:numId w:val="0"/>
      </w:numPr>
    </w:pPr>
    <w:rPr>
      <w:rFonts w:ascii="Times New Roman" w:hAnsi="Times New Roman"/>
      <w:sz w:val="24"/>
    </w:rPr>
  </w:style>
  <w:style w:type="paragraph" w:customStyle="1" w:styleId="Version">
    <w:name w:val="Version"/>
    <w:basedOn w:val="Kasten2"/>
    <w:pPr>
      <w:spacing w:before="120" w:after="240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ktiv\Vorlagen\SOPsVAs\KON_DiagnostischerPfad_IQ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KON_DiagnostischerPfad_IQ</Template>
  <TotalTime>0</TotalTime>
  <Pages>3</Pages>
  <Words>152</Words>
  <Characters>1221</Characters>
  <Application>Microsoft Office Word</Application>
  <DocSecurity>0</DocSecurity>
  <Lines>77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für diagnostische SOPs</vt:lpstr>
    </vt:vector>
  </TitlesOfParts>
  <Company>IQ Institut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für diagnostische SOPs</dc:title>
  <dc:subject/>
  <dc:creator>UPaschen</dc:creator>
  <cp:keywords/>
  <cp:lastModifiedBy>Ulrich Paschen</cp:lastModifiedBy>
  <cp:revision>2</cp:revision>
  <cp:lastPrinted>2007-06-05T11:14:00Z</cp:lastPrinted>
  <dcterms:created xsi:type="dcterms:W3CDTF">2025-11-09T11:28:00Z</dcterms:created>
  <dcterms:modified xsi:type="dcterms:W3CDTF">2025-11-09T11:28:00Z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ff090ec9-d476-44c8-b011-1c1673e0aa34</vt:lpwstr>
  </property>
</Properties>
</file>