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8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1"/>
        <w:gridCol w:w="6237"/>
      </w:tblGrid>
      <w:tr w:rsidR="00CE2036" w14:paraId="2FCD4C03" w14:textId="77777777" w:rsidTr="00FF20C5">
        <w:trPr>
          <w:cantSplit/>
          <w:trHeight w:val="362"/>
          <w:tblHeader/>
        </w:trPr>
        <w:tc>
          <w:tcPr>
            <w:tcW w:w="7938" w:type="dxa"/>
            <w:gridSpan w:val="2"/>
            <w:tcBorders>
              <w:bottom w:val="single" w:sz="4" w:space="0" w:color="auto"/>
            </w:tcBorders>
            <w:vAlign w:val="center"/>
          </w:tcPr>
          <w:p w14:paraId="25725FAE" w14:textId="0ADDA118" w:rsidR="00CE2036" w:rsidRPr="00E428E7" w:rsidRDefault="00152569" w:rsidP="00FF20C5">
            <w:pPr>
              <w:pStyle w:val="IQ-Kopf"/>
              <w:rPr>
                <w:sz w:val="22"/>
              </w:rPr>
            </w:pPr>
            <w:r>
              <w:rPr>
                <w:sz w:val="22"/>
              </w:rPr>
              <w:t xml:space="preserve">Anlage </w:t>
            </w:r>
            <w:r w:rsidR="009D59F4">
              <w:rPr>
                <w:sz w:val="22"/>
              </w:rPr>
              <w:t>4</w:t>
            </w:r>
            <w:r w:rsidR="000B044F">
              <w:rPr>
                <w:sz w:val="22"/>
              </w:rPr>
              <w:t xml:space="preserve"> </w:t>
            </w:r>
            <w:r>
              <w:rPr>
                <w:sz w:val="22"/>
              </w:rPr>
              <w:t>zu _</w:t>
            </w:r>
            <w:r w:rsidR="000B044F">
              <w:rPr>
                <w:sz w:val="22"/>
              </w:rPr>
              <w:t>3.1.01</w:t>
            </w:r>
          </w:p>
        </w:tc>
      </w:tr>
      <w:tr w:rsidR="00CE2036" w14:paraId="090EE254" w14:textId="77777777" w:rsidTr="00FF20C5">
        <w:trPr>
          <w:cantSplit/>
          <w:trHeight w:val="662"/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D299" w14:textId="73DAFD8C" w:rsidR="00CE2036" w:rsidRDefault="00B251F3" w:rsidP="00FF20C5">
            <w:pPr>
              <w:pStyle w:val="Kasten1"/>
            </w:pPr>
            <w:r w:rsidRPr="00DD469C">
              <w:rPr>
                <w:noProof/>
              </w:rPr>
              <w:drawing>
                <wp:inline distT="0" distB="0" distL="0" distR="0" wp14:anchorId="7CF7E87F" wp14:editId="68111EE4">
                  <wp:extent cx="762000" cy="523875"/>
                  <wp:effectExtent l="0" t="0" r="0" b="0"/>
                  <wp:docPr id="1" name="Bild 3" descr="G:\Aktiv\Meine Dokumente\LOGOBILD\QM_logo_klei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" descr="G:\Aktiv\Meine Dokumente\LOGOBILD\QM_logo_klei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12AAC" w14:textId="6318445B" w:rsidR="00CE2036" w:rsidRDefault="00E955B7" w:rsidP="00FF20C5">
            <w:pPr>
              <w:pStyle w:val="Kasten1"/>
            </w:pPr>
            <w:r>
              <w:t>Organisationspflichten einer Einrichtung der Gesundheitsversorgung</w:t>
            </w:r>
          </w:p>
        </w:tc>
      </w:tr>
    </w:tbl>
    <w:p w14:paraId="1B0D5BD4" w14:textId="1E79BDA0" w:rsidR="00F14387" w:rsidRDefault="00F14387" w:rsidP="00F14387"/>
    <w:p w14:paraId="23850FD6" w14:textId="4EFA6F32" w:rsidR="004A6629" w:rsidRPr="004A6629" w:rsidRDefault="004A6629" w:rsidP="004A6629">
      <w:pPr>
        <w:rPr>
          <w:sz w:val="24"/>
          <w:szCs w:val="24"/>
        </w:rPr>
      </w:pPr>
      <w:r w:rsidRPr="004A6629">
        <w:rPr>
          <w:sz w:val="24"/>
          <w:szCs w:val="24"/>
        </w:rPr>
        <w:t xml:space="preserve">„Das Netz der Organisationspflichten ist heute so eng geknüpft, </w:t>
      </w:r>
      <w:r>
        <w:rPr>
          <w:sz w:val="24"/>
          <w:szCs w:val="24"/>
        </w:rPr>
        <w:br/>
      </w:r>
      <w:r w:rsidRPr="004A6629">
        <w:rPr>
          <w:sz w:val="24"/>
          <w:szCs w:val="24"/>
        </w:rPr>
        <w:t>dass kaum noch ein Geschäftsherr durch seine Maschen entschlüpfen kann</w:t>
      </w:r>
      <w:r w:rsidR="009D59F4">
        <w:rPr>
          <w:sz w:val="24"/>
          <w:szCs w:val="24"/>
        </w:rPr>
        <w:t>“</w:t>
      </w:r>
      <w:r w:rsidRPr="004A6629">
        <w:rPr>
          <w:sz w:val="24"/>
          <w:szCs w:val="24"/>
        </w:rPr>
        <w:t>. (RdNr 48)</w:t>
      </w:r>
    </w:p>
    <w:p w14:paraId="49CC4005" w14:textId="2D077340" w:rsidR="004A6629" w:rsidRDefault="004A6629" w:rsidP="00F14387"/>
    <w:p w14:paraId="39A92F11" w14:textId="23961716" w:rsidR="004A6629" w:rsidRDefault="004A6629" w:rsidP="004A6629">
      <w:r>
        <w:t>Die Behandlungsseite hat die Durchführung von Diagnostik und Therapie so zu organisieren, da</w:t>
      </w:r>
      <w:r w:rsidR="007533FE">
        <w:t>ss</w:t>
      </w:r>
      <w:r>
        <w:t xml:space="preserve"> jede vermeidbare Gefährdung der Patienten ausgeschlossen ist.  (OLG Köln VersR (1990, 1240 Laufs  §100 Abs. II RdNr 6</w:t>
      </w:r>
    </w:p>
    <w:p w14:paraId="2A7F6E9A" w14:textId="582015DE" w:rsidR="004A6629" w:rsidRDefault="004A6629" w:rsidP="004A6629">
      <w:r>
        <w:t xml:space="preserve">Der Chefarzt ist </w:t>
      </w:r>
      <w:r w:rsidR="00B72C79">
        <w:t xml:space="preserve">Organ </w:t>
      </w:r>
      <w:r w:rsidR="00154CF5">
        <w:t>des Geschäftsherrn</w:t>
      </w:r>
      <w:r>
        <w:t>, für das er verschuldensunabhängig haftet (§§ 31 und 89 BGB, nicht nur Verrichtungsgehilfe</w:t>
      </w:r>
      <w:r w:rsidR="00B72C79">
        <w:t>)</w:t>
      </w:r>
    </w:p>
    <w:p w14:paraId="75C2D219" w14:textId="33BB0400" w:rsidR="004A6629" w:rsidRDefault="004A6629" w:rsidP="004A6629">
      <w:r>
        <w:t xml:space="preserve">Die Beweislast </w:t>
      </w:r>
      <w:r w:rsidR="00B72C79">
        <w:t xml:space="preserve">für Behandlungsfolgen, die auf Organisationsverschulden beruhen, </w:t>
      </w:r>
      <w:r>
        <w:t xml:space="preserve">liegt bei dem </w:t>
      </w:r>
      <w:r w:rsidR="00B72C79">
        <w:t>Patienten</w:t>
      </w:r>
      <w:r>
        <w:t xml:space="preserve">. Sie kann sich teilweise zum </w:t>
      </w:r>
      <w:r w:rsidR="00B72C79">
        <w:t xml:space="preserve">Nachteil </w:t>
      </w:r>
      <w:r>
        <w:t>des Kr</w:t>
      </w:r>
      <w:r w:rsidR="00B72C79">
        <w:t>ankenhaus</w:t>
      </w:r>
      <w:r w:rsidR="007B11ED">
        <w:t>es</w:t>
      </w:r>
      <w:r w:rsidR="00B72C79">
        <w:t xml:space="preserve"> v</w:t>
      </w:r>
      <w:r>
        <w:t>erlagern, wenn nicht einmal der organisatorische Mindeststandard vorliegt.</w:t>
      </w:r>
    </w:p>
    <w:p w14:paraId="2668272E" w14:textId="77777777" w:rsidR="007B11ED" w:rsidRDefault="007B11ED" w:rsidP="007B11ED">
      <w:r>
        <w:t xml:space="preserve">Bei einfachen Organisationfehlern hat die Behandlungsseite die Vermutung des Verschuldens oder der objektiven Pflichtverletzung zu widerlegen. </w:t>
      </w:r>
    </w:p>
    <w:p w14:paraId="04B3C9A2" w14:textId="1BDE613A" w:rsidR="007B11ED" w:rsidRDefault="007B11ED" w:rsidP="007B11ED">
      <w:r>
        <w:t>Der Chefarzt oder Träger hat die Pflicht zu einer Gefahrausschaltung (§ 280 Abs. 1 Satz 2 BGB)</w:t>
      </w:r>
    </w:p>
    <w:p w14:paraId="2895436D" w14:textId="0192C89B" w:rsidR="007B11ED" w:rsidRDefault="008F2E40" w:rsidP="007B11ED">
      <w:r>
        <w:t xml:space="preserve">Bei </w:t>
      </w:r>
      <w:r w:rsidR="009D59F4">
        <w:t xml:space="preserve">der </w:t>
      </w:r>
      <w:r w:rsidR="007B11ED">
        <w:t>Behandlung mit technischen Geräten (Narkosegerät, Bestrahlung, Röntgengerät, Infusion) muss der Behandler nachweisen, dass der Schaden nicht durch Verletzung seiner Pflichten entstanden ist.</w:t>
      </w:r>
    </w:p>
    <w:p w14:paraId="11DD267C" w14:textId="032FDD66" w:rsidR="004A6629" w:rsidRDefault="00B72C79" w:rsidP="007B11ED">
      <w:pPr>
        <w:pStyle w:val="Kasten1"/>
      </w:pPr>
      <w:r>
        <w:t>Organisationspflichten im Einzelnen können sein:</w:t>
      </w:r>
    </w:p>
    <w:p w14:paraId="67E2C8AA" w14:textId="044CC344" w:rsidR="00E955B7" w:rsidRDefault="00E955B7" w:rsidP="004A6629">
      <w:pPr>
        <w:pStyle w:val="Listenabsatz"/>
        <w:numPr>
          <w:ilvl w:val="0"/>
          <w:numId w:val="16"/>
        </w:numPr>
      </w:pPr>
      <w:r>
        <w:t>Bereitstellung einer ausreichenden Zahl von Ärzten und nichtärztlichem Personal nach Ausbildungsstand und Kenntnissen</w:t>
      </w:r>
    </w:p>
    <w:p w14:paraId="02390185" w14:textId="19D94625" w:rsidR="00E955B7" w:rsidRDefault="00B251F3" w:rsidP="004A6629">
      <w:pPr>
        <w:pStyle w:val="Listenabsatz"/>
        <w:numPr>
          <w:ilvl w:val="0"/>
          <w:numId w:val="1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25301D" wp14:editId="60398612">
                <wp:simplePos x="0" y="0"/>
                <wp:positionH relativeFrom="column">
                  <wp:posOffset>-1183005</wp:posOffset>
                </wp:positionH>
                <wp:positionV relativeFrom="paragraph">
                  <wp:posOffset>-1477010</wp:posOffset>
                </wp:positionV>
                <wp:extent cx="723900" cy="3162300"/>
                <wp:effectExtent l="0" t="0" r="0" b="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16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EBB6149" w14:textId="253ED146" w:rsidR="0061627F" w:rsidRPr="00A251A1" w:rsidRDefault="0061627F" w:rsidP="0061627F">
                            <w:pPr>
                              <w:pStyle w:val="Textkrper"/>
                              <w:jc w:val="left"/>
                            </w:pPr>
                            <w:r w:rsidRPr="00A251A1">
                              <w:t xml:space="preserve">Anlage </w:t>
                            </w:r>
                            <w:r w:rsidR="009D59F4">
                              <w:t>4</w:t>
                            </w:r>
                            <w:r w:rsidRPr="00A251A1">
                              <w:t xml:space="preserve"> zu</w:t>
                            </w:r>
                            <w:r>
                              <w:t xml:space="preserve"> _QM_3.1.1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25301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-93.15pt;margin-top:-116.3pt;width:57pt;height:24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" stroked="f">
                <v:textbox style="layout-flow:vertical;mso-layout-flow-alt:bottom-to-top">
                  <w:txbxContent>
                    <w:p w14:paraId="4EBB6149" w14:textId="253ED146" w:rsidR="0061627F" w:rsidRPr="00A251A1" w:rsidRDefault="0061627F" w:rsidP="0061627F">
                      <w:pPr>
                        <w:pStyle w:val="Textkrper"/>
                        <w:jc w:val="left"/>
                      </w:pPr>
                      <w:r w:rsidRPr="00A251A1">
                        <w:t xml:space="preserve">Anlage </w:t>
                      </w:r>
                      <w:r w:rsidR="009D59F4">
                        <w:t>4</w:t>
                      </w:r>
                      <w:r w:rsidRPr="00A251A1">
                        <w:t xml:space="preserve"> zu</w:t>
                      </w:r>
                      <w:r>
                        <w:t xml:space="preserve"> _QM_3.1.1</w:t>
                      </w:r>
                    </w:p>
                  </w:txbxContent>
                </v:textbox>
              </v:shape>
            </w:pict>
          </mc:Fallback>
        </mc:AlternateContent>
      </w:r>
      <w:r w:rsidR="00E955B7">
        <w:t>Anschaffung von Gerät</w:t>
      </w:r>
    </w:p>
    <w:p w14:paraId="5FFC0409" w14:textId="77777777" w:rsidR="00E955B7" w:rsidRDefault="00E955B7" w:rsidP="004A6629">
      <w:pPr>
        <w:pStyle w:val="Listenabsatz"/>
        <w:numPr>
          <w:ilvl w:val="0"/>
          <w:numId w:val="16"/>
        </w:numPr>
      </w:pPr>
      <w:r>
        <w:t>Abschluss von Wartungsverträgen</w:t>
      </w:r>
    </w:p>
    <w:p w14:paraId="7581849B" w14:textId="77777777" w:rsidR="00E955B7" w:rsidRDefault="00E955B7" w:rsidP="004A6629">
      <w:pPr>
        <w:pStyle w:val="Listenabsatz"/>
        <w:numPr>
          <w:ilvl w:val="0"/>
          <w:numId w:val="16"/>
        </w:numPr>
      </w:pPr>
      <w:r>
        <w:t>Erstorganisation, dann aber folgende Kontrollen, ob den Pflichten gefolgt wurde.</w:t>
      </w:r>
    </w:p>
    <w:p w14:paraId="423B4482" w14:textId="55D8CC41" w:rsidR="00E955B7" w:rsidRDefault="00E955B7" w:rsidP="004A6629">
      <w:pPr>
        <w:pStyle w:val="Listenabsatz"/>
        <w:numPr>
          <w:ilvl w:val="0"/>
          <w:numId w:val="16"/>
        </w:numPr>
      </w:pPr>
      <w:r>
        <w:t>Zweckmäßige Rechtsform (RdNr 11)</w:t>
      </w:r>
    </w:p>
    <w:p w14:paraId="76C0150D" w14:textId="4F91073B" w:rsidR="00E955B7" w:rsidRDefault="00E955B7" w:rsidP="004A6629">
      <w:pPr>
        <w:pStyle w:val="Listenabsatz"/>
        <w:numPr>
          <w:ilvl w:val="0"/>
          <w:numId w:val="16"/>
        </w:numPr>
      </w:pPr>
      <w:r>
        <w:t>Befugnis zum ambulanten Operieren oder Tätigwerden eines Belegarztes (RdNr 12)</w:t>
      </w:r>
    </w:p>
    <w:p w14:paraId="41F48E28" w14:textId="262AE646" w:rsidR="00E955B7" w:rsidRDefault="00E955B7" w:rsidP="004A6629">
      <w:pPr>
        <w:pStyle w:val="Listenabsatz"/>
        <w:numPr>
          <w:ilvl w:val="0"/>
          <w:numId w:val="16"/>
        </w:numPr>
      </w:pPr>
      <w:r>
        <w:t>Erstellen eines Haushalts- bzw. Wirtschaftsplans (RdNr 13)</w:t>
      </w:r>
    </w:p>
    <w:p w14:paraId="03BD911F" w14:textId="31601AAB" w:rsidR="00E955B7" w:rsidRDefault="00E955B7" w:rsidP="004A6629">
      <w:pPr>
        <w:pStyle w:val="Listenabsatz"/>
        <w:numPr>
          <w:ilvl w:val="0"/>
          <w:numId w:val="16"/>
        </w:numPr>
      </w:pPr>
      <w:r>
        <w:t>Sicherstellung eines operativen Eingriffes durch ausreichend erfahrene und geübte Operateure</w:t>
      </w:r>
    </w:p>
    <w:p w14:paraId="1A74FB66" w14:textId="0DCB7595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Sicherstellen, </w:t>
      </w:r>
      <w:r w:rsidR="00391CC7">
        <w:t>dass</w:t>
      </w:r>
      <w:r>
        <w:t xml:space="preserve"> die Ärzte körperlich und geistig in der Lage sind, mit der nötigen Sorgfalt zu operieren.  (RdNr 14)</w:t>
      </w:r>
    </w:p>
    <w:p w14:paraId="14DD472F" w14:textId="798F25D0" w:rsidR="00E955B7" w:rsidRDefault="00E955B7" w:rsidP="004A6629">
      <w:pPr>
        <w:pStyle w:val="Listenabsatz"/>
        <w:numPr>
          <w:ilvl w:val="0"/>
          <w:numId w:val="16"/>
        </w:numPr>
      </w:pPr>
      <w:r>
        <w:lastRenderedPageBreak/>
        <w:t>Vorhalten hinreichender Sachausstattung einschließlich Arzneimittel (RdNr 16)</w:t>
      </w:r>
    </w:p>
    <w:p w14:paraId="0800825C" w14:textId="44669047" w:rsidR="00E955B7" w:rsidRDefault="00E955B7" w:rsidP="004A6629">
      <w:pPr>
        <w:pStyle w:val="Listenabsatz"/>
        <w:numPr>
          <w:ilvl w:val="0"/>
          <w:numId w:val="16"/>
        </w:numPr>
      </w:pPr>
      <w:r>
        <w:t>Erhaltung der Funktionstüchtigkeit</w:t>
      </w:r>
    </w:p>
    <w:p w14:paraId="21FA111C" w14:textId="77777777" w:rsidR="00B72C79" w:rsidRDefault="00E955B7" w:rsidP="004A6629">
      <w:pPr>
        <w:pStyle w:val="Listenabsatz"/>
        <w:numPr>
          <w:ilvl w:val="0"/>
          <w:numId w:val="16"/>
        </w:numPr>
      </w:pPr>
      <w:r>
        <w:t>Aufbewahrung der Patientenakten (RdNr 19), Dienstanweisung zur Dokumentation</w:t>
      </w:r>
      <w:r w:rsidR="00B72C79" w:rsidRPr="00B72C79">
        <w:t xml:space="preserve"> </w:t>
      </w:r>
    </w:p>
    <w:p w14:paraId="283EFFE4" w14:textId="055B8690" w:rsidR="00E955B7" w:rsidRDefault="00B72C79" w:rsidP="004A6629">
      <w:pPr>
        <w:pStyle w:val="Listenabsatz"/>
        <w:numPr>
          <w:ilvl w:val="0"/>
          <w:numId w:val="16"/>
        </w:numPr>
      </w:pPr>
      <w:r w:rsidRPr="00B72C79">
        <w:t>Verhinderung von Beweisvereitelung: Vernichtung von Beweismitteln wie Video von der Op</w:t>
      </w:r>
      <w:r>
        <w:t>e</w:t>
      </w:r>
      <w:r w:rsidRPr="00B72C79">
        <w:t>ration</w:t>
      </w:r>
    </w:p>
    <w:p w14:paraId="4F5BC185" w14:textId="59C76104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Verkehrssicherungspflichten </w:t>
      </w:r>
      <w:r w:rsidR="004A6629">
        <w:t>(</w:t>
      </w:r>
      <w:r>
        <w:t>RdNr 20</w:t>
      </w:r>
      <w:r w:rsidR="004A6629">
        <w:t>)</w:t>
      </w:r>
      <w:r>
        <w:t xml:space="preserve"> </w:t>
      </w:r>
    </w:p>
    <w:p w14:paraId="0E1BF831" w14:textId="3E667B57" w:rsidR="00E955B7" w:rsidRDefault="00E955B7" w:rsidP="004A6629">
      <w:pPr>
        <w:pStyle w:val="Listenabsatz"/>
        <w:numPr>
          <w:ilvl w:val="0"/>
          <w:numId w:val="16"/>
        </w:numPr>
      </w:pPr>
      <w:r>
        <w:t>Hygienische Zustände</w:t>
      </w:r>
    </w:p>
    <w:p w14:paraId="620D205A" w14:textId="1C87E901" w:rsidR="00E955B7" w:rsidRDefault="00E955B7" w:rsidP="004A6629">
      <w:pPr>
        <w:pStyle w:val="Listenabsatz"/>
        <w:numPr>
          <w:ilvl w:val="0"/>
          <w:numId w:val="16"/>
        </w:numPr>
      </w:pPr>
      <w:r>
        <w:t>Unfallfreie Wege</w:t>
      </w:r>
    </w:p>
    <w:p w14:paraId="2C9F1183" w14:textId="7BBAD4B1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Sicheres </w:t>
      </w:r>
      <w:r w:rsidR="008F2E40">
        <w:t>Mobiliar</w:t>
      </w:r>
    </w:p>
    <w:p w14:paraId="6D6F88E2" w14:textId="1F35AC5B" w:rsidR="00E955B7" w:rsidRDefault="00E955B7" w:rsidP="004A6629">
      <w:pPr>
        <w:pStyle w:val="Listenabsatz"/>
        <w:numPr>
          <w:ilvl w:val="0"/>
          <w:numId w:val="16"/>
        </w:numPr>
      </w:pPr>
      <w:r>
        <w:t>Zugänge</w:t>
      </w:r>
    </w:p>
    <w:p w14:paraId="6AE32C14" w14:textId="059B56F7" w:rsidR="00E955B7" w:rsidRDefault="00E955B7" w:rsidP="004A6629">
      <w:pPr>
        <w:pStyle w:val="Listenabsatz"/>
        <w:numPr>
          <w:ilvl w:val="0"/>
          <w:numId w:val="16"/>
        </w:numPr>
      </w:pPr>
      <w:r>
        <w:t>Transport</w:t>
      </w:r>
    </w:p>
    <w:p w14:paraId="431E7054" w14:textId="4727DD4E" w:rsidR="00E955B7" w:rsidRDefault="00E955B7" w:rsidP="004A6629">
      <w:pPr>
        <w:pStyle w:val="Listenabsatz"/>
        <w:numPr>
          <w:ilvl w:val="0"/>
          <w:numId w:val="16"/>
        </w:numPr>
      </w:pPr>
      <w:r>
        <w:t>Schutz vor Selbstschädigungen (nicht nur psychiatrischen oder sui</w:t>
      </w:r>
      <w:r w:rsidR="004A6629">
        <w:t>z</w:t>
      </w:r>
      <w:r>
        <w:t>idgefä</w:t>
      </w:r>
      <w:r w:rsidR="004A6629">
        <w:t>h</w:t>
      </w:r>
      <w:r>
        <w:t>rdete</w:t>
      </w:r>
      <w:r w:rsidR="004A6629">
        <w:t>r</w:t>
      </w:r>
      <w:r>
        <w:t xml:space="preserve"> </w:t>
      </w:r>
      <w:r w:rsidR="004A6629">
        <w:t>Patienten</w:t>
      </w:r>
      <w:r>
        <w:t>)</w:t>
      </w:r>
    </w:p>
    <w:p w14:paraId="01C82DEC" w14:textId="1CF293CD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Organisation für Haftungsfälle </w:t>
      </w:r>
      <w:r w:rsidR="004A6629">
        <w:t>(</w:t>
      </w:r>
      <w:r>
        <w:t>R</w:t>
      </w:r>
      <w:r w:rsidR="004A6629">
        <w:t>d</w:t>
      </w:r>
      <w:r>
        <w:t>N</w:t>
      </w:r>
      <w:r w:rsidR="004A6629">
        <w:t>r</w:t>
      </w:r>
      <w:r>
        <w:t xml:space="preserve"> 27</w:t>
      </w:r>
      <w:r w:rsidR="004A6629">
        <w:t>,</w:t>
      </w:r>
      <w:r>
        <w:t xml:space="preserve"> ergibt sich aus den AHB</w:t>
      </w:r>
      <w:r w:rsidR="004A6629">
        <w:t xml:space="preserve"> der Versicherer</w:t>
      </w:r>
    </w:p>
    <w:p w14:paraId="5E870189" w14:textId="42676CF2" w:rsidR="00E955B7" w:rsidRDefault="00E955B7" w:rsidP="004A6629">
      <w:pPr>
        <w:pStyle w:val="Listenabsatz"/>
        <w:numPr>
          <w:ilvl w:val="0"/>
          <w:numId w:val="16"/>
        </w:numPr>
      </w:pPr>
      <w:r>
        <w:t>Anleitung und Überwachung de</w:t>
      </w:r>
      <w:r w:rsidR="004A6629">
        <w:t>s</w:t>
      </w:r>
      <w:r>
        <w:t xml:space="preserve"> </w:t>
      </w:r>
      <w:r w:rsidR="004A6629">
        <w:t xml:space="preserve">Chefarztes </w:t>
      </w:r>
      <w:r>
        <w:t>zu den ihm übertragenen Organisationsaufgaben</w:t>
      </w:r>
    </w:p>
    <w:p w14:paraId="0DC8F3F3" w14:textId="497E71C7" w:rsidR="00E955B7" w:rsidRDefault="00E955B7" w:rsidP="004A6629">
      <w:pPr>
        <w:pStyle w:val="Listenabsatz"/>
        <w:numPr>
          <w:ilvl w:val="0"/>
          <w:numId w:val="16"/>
        </w:numPr>
      </w:pPr>
      <w:r>
        <w:t>Remonst</w:t>
      </w:r>
      <w:r w:rsidR="008F2E40">
        <w:t>r</w:t>
      </w:r>
      <w:r>
        <w:t>ationspflicht: Organisationspflicht des Che</w:t>
      </w:r>
      <w:r w:rsidR="004A6629">
        <w:t>f</w:t>
      </w:r>
      <w:r>
        <w:t>arztes, den Träger auf Gebrechen des Betriebes hinzuweisen.</w:t>
      </w:r>
    </w:p>
    <w:p w14:paraId="714371A3" w14:textId="561D95FF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Organisationsaufgaben in den Grundzügen festlegen und Kompetenzen abgrenzen </w:t>
      </w:r>
      <w:r w:rsidR="004A6629">
        <w:t>(</w:t>
      </w:r>
      <w:r>
        <w:t>R</w:t>
      </w:r>
      <w:r w:rsidR="004A6629">
        <w:t>d</w:t>
      </w:r>
      <w:r>
        <w:t>Nr 30</w:t>
      </w:r>
      <w:r w:rsidR="004A6629">
        <w:t>)</w:t>
      </w:r>
    </w:p>
    <w:p w14:paraId="436B7B8B" w14:textId="501530A0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Auswahl und </w:t>
      </w:r>
      <w:r w:rsidR="004A6629">
        <w:t xml:space="preserve">Einsatz </w:t>
      </w:r>
      <w:r>
        <w:t>nachgeordneten Personals und deren Kontrolle</w:t>
      </w:r>
    </w:p>
    <w:p w14:paraId="0D6F4AC2" w14:textId="77E66D27" w:rsidR="00E955B7" w:rsidRDefault="00E955B7" w:rsidP="004A6629">
      <w:pPr>
        <w:pStyle w:val="Listenabsatz"/>
        <w:numPr>
          <w:ilvl w:val="0"/>
          <w:numId w:val="16"/>
        </w:numPr>
      </w:pPr>
      <w:r>
        <w:t>Zuständigkeitsregelungen</w:t>
      </w:r>
      <w:r w:rsidR="009D59F4">
        <w:t>,</w:t>
      </w:r>
      <w:r>
        <w:t xml:space="preserve"> Vertretungsregeln. Eins</w:t>
      </w:r>
      <w:r w:rsidR="004A6629">
        <w:t>at</w:t>
      </w:r>
      <w:r>
        <w:t xml:space="preserve">zpläne, Ruf- und Bereitschaftsdienst, Urlaub, Zusammenarbeit mit anderen Abteilungen, einweisenden Ärzten </w:t>
      </w:r>
      <w:r w:rsidR="004A6629">
        <w:t xml:space="preserve">und </w:t>
      </w:r>
      <w:r>
        <w:t xml:space="preserve">Pflegepersonal </w:t>
      </w:r>
      <w:r w:rsidR="004A6629">
        <w:t>(</w:t>
      </w:r>
      <w:r>
        <w:t>R</w:t>
      </w:r>
      <w:r w:rsidR="004A6629">
        <w:t>d</w:t>
      </w:r>
      <w:r>
        <w:t>N</w:t>
      </w:r>
      <w:r w:rsidR="004A6629">
        <w:t>r</w:t>
      </w:r>
      <w:r>
        <w:t xml:space="preserve"> 36</w:t>
      </w:r>
      <w:r w:rsidR="004A6629">
        <w:t>)</w:t>
      </w:r>
    </w:p>
    <w:p w14:paraId="01939DFE" w14:textId="489611C4" w:rsidR="00E955B7" w:rsidRDefault="00E955B7" w:rsidP="004A6629">
      <w:pPr>
        <w:pStyle w:val="Listenabsatz"/>
        <w:numPr>
          <w:ilvl w:val="0"/>
          <w:numId w:val="16"/>
        </w:numPr>
      </w:pPr>
      <w:r>
        <w:t xml:space="preserve">Fachaufsicht über den nachgeordneten ärztlichen </w:t>
      </w:r>
      <w:r w:rsidR="004A6629">
        <w:t>Dienst (</w:t>
      </w:r>
      <w:r>
        <w:t>R</w:t>
      </w:r>
      <w:r w:rsidR="004A6629">
        <w:t>d</w:t>
      </w:r>
      <w:r>
        <w:t>N</w:t>
      </w:r>
      <w:r w:rsidR="004A6629">
        <w:t>r</w:t>
      </w:r>
      <w:r>
        <w:t xml:space="preserve"> 34</w:t>
      </w:r>
      <w:r w:rsidR="004A6629">
        <w:t>)</w:t>
      </w:r>
    </w:p>
    <w:p w14:paraId="5E398BFE" w14:textId="77777777" w:rsidR="00E955B7" w:rsidRDefault="00E955B7" w:rsidP="004A6629">
      <w:pPr>
        <w:pStyle w:val="Listenabsatz"/>
        <w:numPr>
          <w:ilvl w:val="0"/>
          <w:numId w:val="16"/>
        </w:numPr>
      </w:pPr>
      <w:r>
        <w:t>Krankenhaushygiene</w:t>
      </w:r>
    </w:p>
    <w:p w14:paraId="06D06B46" w14:textId="77777777" w:rsidR="008F2E40" w:rsidRDefault="00E955B7" w:rsidP="00B72C79">
      <w:pPr>
        <w:pStyle w:val="Listenabsatz"/>
        <w:numPr>
          <w:ilvl w:val="0"/>
          <w:numId w:val="16"/>
        </w:numPr>
        <w:ind w:left="708"/>
      </w:pPr>
      <w:r>
        <w:t>D</w:t>
      </w:r>
      <w:r w:rsidR="008F2E40">
        <w:t xml:space="preserve">ienstanweisungen </w:t>
      </w:r>
      <w:r>
        <w:t>Aufklärungspflichten</w:t>
      </w:r>
      <w:r w:rsidR="007B11ED">
        <w:br/>
      </w:r>
      <w:r w:rsidR="00B72C79" w:rsidRPr="00B72C79">
        <w:t xml:space="preserve">Der eigenmächtige Heileingriff ist eine Verletzung der Dispositionsfreiheit des Patienten. (18. Kapitel  §102 </w:t>
      </w:r>
    </w:p>
    <w:p w14:paraId="2B9ABD04" w14:textId="531C7C11" w:rsidR="00B72C79" w:rsidRDefault="00B72C79" w:rsidP="00B72C79">
      <w:pPr>
        <w:pStyle w:val="Listenabsatz"/>
        <w:numPr>
          <w:ilvl w:val="0"/>
          <w:numId w:val="16"/>
        </w:numPr>
        <w:ind w:left="708"/>
      </w:pPr>
      <w:r w:rsidRPr="00B72C79">
        <w:t>Die deliktische Haftpflicht des Arztes und des Krankenhausträgers)</w:t>
      </w:r>
    </w:p>
    <w:p w14:paraId="7D162699" w14:textId="4E3A37AA" w:rsidR="00E955B7" w:rsidRDefault="00E955B7" w:rsidP="004A6629">
      <w:pPr>
        <w:pStyle w:val="Listenabsatz"/>
        <w:numPr>
          <w:ilvl w:val="0"/>
          <w:numId w:val="16"/>
        </w:numPr>
      </w:pPr>
      <w:r>
        <w:t>Qualitätssicherung, Kommission für s</w:t>
      </w:r>
      <w:r w:rsidR="008F2E40">
        <w:t>chwerwiegende Unerwünschte Ereignisse</w:t>
      </w:r>
      <w:r>
        <w:t xml:space="preserve"> (Deutsch/</w:t>
      </w:r>
      <w:r w:rsidR="004A6629">
        <w:t xml:space="preserve">Spichhoff </w:t>
      </w:r>
      <w:r>
        <w:t xml:space="preserve">Rd Nr 351, </w:t>
      </w:r>
    </w:p>
    <w:p w14:paraId="5FCE5364" w14:textId="2707AD16" w:rsidR="00E955B7" w:rsidRDefault="00E955B7" w:rsidP="00E955B7">
      <w:r>
        <w:t xml:space="preserve">§ 103 </w:t>
      </w:r>
      <w:r w:rsidR="00B72C79">
        <w:t xml:space="preserve">Haftung </w:t>
      </w:r>
      <w:r>
        <w:t>für Hilfspersonen. Organhaftung</w:t>
      </w:r>
    </w:p>
    <w:p w14:paraId="126637B9" w14:textId="0ECAD508" w:rsidR="00E955B7" w:rsidRDefault="00E955B7" w:rsidP="00E955B7">
      <w:r>
        <w:tab/>
        <w:t>§</w:t>
      </w:r>
      <w:r w:rsidR="00B72C79">
        <w:t xml:space="preserve"> </w:t>
      </w:r>
      <w:r>
        <w:t xml:space="preserve">831 </w:t>
      </w:r>
      <w:r w:rsidR="00B72C79">
        <w:t xml:space="preserve">BGB Einstandspflicht </w:t>
      </w:r>
      <w:r>
        <w:t xml:space="preserve">für </w:t>
      </w:r>
      <w:r w:rsidR="00B72C79">
        <w:t>Gehilfen</w:t>
      </w:r>
    </w:p>
    <w:p w14:paraId="07E7CD72" w14:textId="05A4BB2D" w:rsidR="00E955B7" w:rsidRDefault="00E955B7" w:rsidP="00B72C79">
      <w:pPr>
        <w:ind w:left="708"/>
      </w:pPr>
      <w:r>
        <w:t xml:space="preserve">Der Geschäftsherr haftet für Gehilfen bei </w:t>
      </w:r>
      <w:r w:rsidR="00B72C79">
        <w:t xml:space="preserve">vermutetem </w:t>
      </w:r>
      <w:r>
        <w:t>Verschulden</w:t>
      </w:r>
      <w:r w:rsidR="00B72C79">
        <w:t>,</w:t>
      </w:r>
      <w:r>
        <w:t xml:space="preserve"> bei Auswahl, </w:t>
      </w:r>
      <w:r w:rsidR="00B72C79">
        <w:t>Anleitung</w:t>
      </w:r>
      <w:r>
        <w:t xml:space="preserve">, </w:t>
      </w:r>
      <w:r w:rsidR="00B72C79">
        <w:t xml:space="preserve">Überwachung </w:t>
      </w:r>
      <w:r>
        <w:t xml:space="preserve">und </w:t>
      </w:r>
      <w:r w:rsidR="00B72C79">
        <w:t xml:space="preserve">Ausstattung. </w:t>
      </w:r>
      <w:r>
        <w:t xml:space="preserve">Entlassten kann sich der Geschäftsherr mit dem objektiven Tatbestand einer unerlaubten </w:t>
      </w:r>
      <w:r w:rsidR="00B72C79">
        <w:t xml:space="preserve">Handlung </w:t>
      </w:r>
      <w:r>
        <w:t xml:space="preserve">des Verrichtungsgehilfen. </w:t>
      </w:r>
    </w:p>
    <w:p w14:paraId="1A229387" w14:textId="6C87DCD0" w:rsidR="00E955B7" w:rsidRDefault="00E955B7" w:rsidP="00E955B7">
      <w:r>
        <w:t>§ 31 Verfassungsmäßiger Vertreter</w:t>
      </w:r>
    </w:p>
    <w:p w14:paraId="3B825418" w14:textId="2453200C" w:rsidR="00E955B7" w:rsidRDefault="00E955B7" w:rsidP="00E955B7">
      <w:r>
        <w:t xml:space="preserve">Arbeitet der Chefarzt völlig weisungsfrei, ist er </w:t>
      </w:r>
      <w:r w:rsidR="00B72C79">
        <w:t xml:space="preserve">Organ der Einrichtung als </w:t>
      </w:r>
      <w:r>
        <w:t xml:space="preserve">– verfassungsgemäß berufener Vertreter. Ist er einem ärztlichen Direktor als </w:t>
      </w:r>
      <w:r>
        <w:lastRenderedPageBreak/>
        <w:t xml:space="preserve">Aufsichtsbeauftragtem unterstellt, muss dieser </w:t>
      </w:r>
      <w:r w:rsidR="00B72C79">
        <w:t xml:space="preserve">eine </w:t>
      </w:r>
      <w:r>
        <w:t xml:space="preserve">entsprechende </w:t>
      </w:r>
      <w:r w:rsidR="00B72C79">
        <w:t xml:space="preserve">Überwachung </w:t>
      </w:r>
      <w:r>
        <w:t>sicherstellen.</w:t>
      </w:r>
    </w:p>
    <w:p w14:paraId="6BFAA5AE" w14:textId="2B67441B" w:rsidR="00E955B7" w:rsidRDefault="00E955B7" w:rsidP="00E955B7">
      <w:r>
        <w:t>Kontrollpflichten bei Gesche</w:t>
      </w:r>
      <w:r w:rsidR="007B11ED">
        <w:t>he</w:t>
      </w:r>
      <w:r>
        <w:t xml:space="preserve">nsabläufen, die bisher nicht ausreichend bekannt sind (Heilversuche). Die nachträgliche </w:t>
      </w:r>
      <w:r w:rsidR="007B11ED">
        <w:t xml:space="preserve">Rekonstruktion </w:t>
      </w:r>
      <w:r>
        <w:t xml:space="preserve">des Ablaufes muss möglich sein. </w:t>
      </w:r>
    </w:p>
    <w:p w14:paraId="011FE334" w14:textId="00DDD10E" w:rsidR="00E955B7" w:rsidRDefault="00E955B7" w:rsidP="00E955B7">
      <w:r>
        <w:t xml:space="preserve">Besonderes </w:t>
      </w:r>
      <w:r w:rsidR="007B11ED">
        <w:t>Vorkommnis</w:t>
      </w:r>
      <w:r>
        <w:t>: vermehrtes Auftreten von Staphylokokken</w:t>
      </w:r>
      <w:r w:rsidR="007B11ED">
        <w:t>i</w:t>
      </w:r>
      <w:r>
        <w:t xml:space="preserve">nfektion, </w:t>
      </w:r>
      <w:r w:rsidR="007B11ED">
        <w:t>S</w:t>
      </w:r>
      <w:r>
        <w:t xml:space="preserve">treptokokkeninfektion muss den Chefärzten mitgeteilt werden. </w:t>
      </w:r>
    </w:p>
    <w:p w14:paraId="3F5BFB70" w14:textId="77777777" w:rsidR="00E955B7" w:rsidRDefault="00E955B7" w:rsidP="00E955B7">
      <w:r>
        <w:t>Informationspflichten bei Befunden, die eine weitere Behandlung nötig machen – wenn die Symptome anhalten, einen Arzt aufsuchen</w:t>
      </w:r>
    </w:p>
    <w:p w14:paraId="44982649" w14:textId="574C5ED8" w:rsidR="00E955B7" w:rsidRDefault="008F2E40" w:rsidP="00E955B7">
      <w:r>
        <w:t xml:space="preserve">BGB </w:t>
      </w:r>
      <w:r w:rsidR="00E955B7">
        <w:t xml:space="preserve">§ 630h Abs. 4Anfängeroperation  </w:t>
      </w:r>
    </w:p>
    <w:p w14:paraId="54CAB1C6" w14:textId="10EDD0E3" w:rsidR="00CE2036" w:rsidRDefault="00CE2036" w:rsidP="00F14387"/>
    <w:p w14:paraId="56028E19" w14:textId="77777777" w:rsidR="00E955B7" w:rsidRDefault="00E955B7" w:rsidP="00E955B7">
      <w:r>
        <w:t>Quelle:</w:t>
      </w:r>
    </w:p>
    <w:p w14:paraId="1CF7D292" w14:textId="25CC7E86" w:rsidR="00E955B7" w:rsidRDefault="00E955B7" w:rsidP="00E955B7">
      <w:r>
        <w:t>§ 100 Organisationspflichten</w:t>
      </w:r>
      <w:r w:rsidR="007B11ED">
        <w:t xml:space="preserve"> in </w:t>
      </w:r>
      <w:r>
        <w:t>(Laufs, Kern Rehborn</w:t>
      </w:r>
      <w:r w:rsidR="007B11ED">
        <w:t>, Arztrecht 2019</w:t>
      </w:r>
      <w:r>
        <w:t>)</w:t>
      </w:r>
    </w:p>
    <w:p w14:paraId="6A55FFB5" w14:textId="77777777" w:rsidR="00E955B7" w:rsidRDefault="00E955B7" w:rsidP="00E955B7">
      <w:r>
        <w:t>Siehe auch die Einbecker Empfehlungen 2005</w:t>
      </w:r>
    </w:p>
    <w:p w14:paraId="7F12CDF8" w14:textId="0205AA8F" w:rsidR="00CE2036" w:rsidRDefault="00E955B7" w:rsidP="00E955B7">
      <w:r>
        <w:t>Deutsch/Spickhoff Medizinrecht 7. Auflage 2014</w:t>
      </w:r>
    </w:p>
    <w:p w14:paraId="2E6CF269" w14:textId="249C8469" w:rsidR="0061627F" w:rsidRDefault="0061627F" w:rsidP="00E955B7"/>
    <w:p w14:paraId="23906798" w14:textId="752D7886" w:rsidR="0061627F" w:rsidRDefault="0061627F" w:rsidP="00E955B7">
      <w:r>
        <w:t>Hamburg, den 20</w:t>
      </w:r>
      <w:r w:rsidR="009D59F4">
        <w:t>25</w:t>
      </w:r>
      <w:r>
        <w:t>-</w:t>
      </w:r>
      <w:r w:rsidR="009D59F4">
        <w:t>06</w:t>
      </w:r>
      <w:r>
        <w:t>-10</w:t>
      </w:r>
    </w:p>
    <w:p w14:paraId="51E78D4D" w14:textId="77777777" w:rsidR="00754F5B" w:rsidRDefault="00754F5B" w:rsidP="00D44B8B">
      <w:pPr>
        <w:pStyle w:val="Kastenunterschrift"/>
        <w:pBdr>
          <w:bottom w:val="single" w:sz="4" w:space="1" w:color="auto"/>
        </w:pBdr>
        <w:ind w:right="-567"/>
      </w:pPr>
    </w:p>
    <w:sectPr w:rsidR="00754F5B" w:rsidSect="00DC337A">
      <w:headerReference w:type="default" r:id="rId8"/>
      <w:footerReference w:type="default" r:id="rId9"/>
      <w:footerReference w:type="first" r:id="rId10"/>
      <w:type w:val="continuous"/>
      <w:pgSz w:w="11907" w:h="16840" w:code="9"/>
      <w:pgMar w:top="1985" w:right="2268" w:bottom="1418" w:left="2268" w:header="1134" w:footer="851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32292" w14:textId="77777777" w:rsidR="002F61E8" w:rsidRDefault="002F61E8">
      <w:pPr>
        <w:spacing w:before="0" w:line="240" w:lineRule="auto"/>
      </w:pPr>
      <w:r>
        <w:separator/>
      </w:r>
    </w:p>
  </w:endnote>
  <w:endnote w:type="continuationSeparator" w:id="0">
    <w:p w14:paraId="21960141" w14:textId="77777777" w:rsidR="002F61E8" w:rsidRDefault="002F61E8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C4546" w14:textId="77777777" w:rsidR="00385C32" w:rsidRDefault="00385C32">
    <w:pPr>
      <w:pStyle w:val="Fuzeile"/>
      <w:tabs>
        <w:tab w:val="clear" w:pos="4536"/>
        <w:tab w:val="center" w:pos="7938"/>
      </w:tabs>
    </w:pPr>
    <w:r>
      <w:rPr>
        <w:snapToGrid w:val="0"/>
      </w:rPr>
      <w:t xml:space="preserve">-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 w:rsidR="008F7742">
      <w:rPr>
        <w:noProof/>
        <w:snapToGrid w:val="0"/>
      </w:rPr>
      <w:t>2</w:t>
    </w:r>
    <w:r>
      <w:rPr>
        <w:snapToGrid w:val="0"/>
      </w:rPr>
      <w:fldChar w:fldCharType="end"/>
    </w:r>
    <w:r>
      <w:rPr>
        <w:snapToGrid w:val="0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05564" w14:textId="73F04135" w:rsidR="00385C32" w:rsidRDefault="00385C32">
    <w:pPr>
      <w:pStyle w:val="Fuzeile"/>
    </w:pPr>
    <w:r>
      <w:rPr>
        <w:vertAlign w:val="superscript"/>
      </w:rPr>
      <w:sym w:font="Symbol" w:char="F0D3"/>
    </w:r>
    <w:r w:rsidR="00152569">
      <w:t>Dr. U. Paschen</w:t>
    </w:r>
    <w:r>
      <w:t xml:space="preserve"> 20</w:t>
    </w:r>
    <w:r w:rsidR="007533FE">
      <w:t>2</w:t>
    </w:r>
    <w:r w:rsidR="009D59F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751A9" w14:textId="77777777" w:rsidR="002F61E8" w:rsidRDefault="002F61E8">
      <w:pPr>
        <w:spacing w:before="0" w:line="240" w:lineRule="auto"/>
      </w:pPr>
      <w:r>
        <w:separator/>
      </w:r>
    </w:p>
  </w:footnote>
  <w:footnote w:type="continuationSeparator" w:id="0">
    <w:p w14:paraId="01B73EE3" w14:textId="77777777" w:rsidR="002F61E8" w:rsidRDefault="002F61E8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A7E51" w14:textId="5B878B4E" w:rsidR="00385C32" w:rsidRDefault="00CE2036">
    <w:pPr>
      <w:pStyle w:val="Kopfzeile"/>
    </w:pPr>
    <w:r>
      <w:t>GHP</w:t>
    </w:r>
    <w:r w:rsidRPr="00547C41">
      <w:rPr>
        <w:vertAlign w:val="superscript"/>
      </w:rPr>
      <w:t xml:space="preserve">® </w:t>
    </w:r>
    <w:r>
      <w:t>Anlage</w:t>
    </w:r>
    <w:r w:rsidR="00C978D4">
      <w:t xml:space="preserve"> </w:t>
    </w:r>
    <w:r w:rsidR="009D59F4">
      <w:t>4</w:t>
    </w:r>
    <w:r w:rsidR="00C978D4">
      <w:t xml:space="preserve"> zu 3.1.01</w:t>
    </w:r>
    <w:r w:rsidR="00547C41">
      <w:t xml:space="preserve"> </w:t>
    </w:r>
    <w:r w:rsidR="00385C32">
      <w:t>Version 0</w:t>
    </w:r>
    <w:r w:rsidR="009D59F4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9305C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CA45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E846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320E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8E0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7A71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11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A643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124C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1CF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73921982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2" w15:restartNumberingAfterBreak="0">
    <w:nsid w:val="17BF4299"/>
    <w:multiLevelType w:val="hybridMultilevel"/>
    <w:tmpl w:val="560A28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2152F"/>
    <w:multiLevelType w:val="multilevel"/>
    <w:tmpl w:val="EF4CEBFA"/>
    <w:styleLink w:val="FormatvorlageAufgezhltSymbolSymbol12ptLinks063cmHngen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646B1"/>
    <w:multiLevelType w:val="multilevel"/>
    <w:tmpl w:val="E0F4B30C"/>
    <w:lvl w:ilvl="0">
      <w:start w:val="1"/>
      <w:numFmt w:val="decimal"/>
      <w:pStyle w:val="berschrift1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sz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0"/>
        </w:tabs>
        <w:ind w:left="0" w:firstLine="0"/>
      </w:pPr>
    </w:lvl>
  </w:abstractNum>
  <w:num w:numId="1" w16cid:durableId="954672513">
    <w:abstractNumId w:val="10"/>
  </w:num>
  <w:num w:numId="2" w16cid:durableId="1398747454">
    <w:abstractNumId w:val="1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725682908">
    <w:abstractNumId w:val="14"/>
  </w:num>
  <w:num w:numId="4" w16cid:durableId="1069041524">
    <w:abstractNumId w:val="9"/>
  </w:num>
  <w:num w:numId="5" w16cid:durableId="1406223295">
    <w:abstractNumId w:val="7"/>
  </w:num>
  <w:num w:numId="6" w16cid:durableId="44110727">
    <w:abstractNumId w:val="6"/>
  </w:num>
  <w:num w:numId="7" w16cid:durableId="1820463450">
    <w:abstractNumId w:val="5"/>
  </w:num>
  <w:num w:numId="8" w16cid:durableId="554507739">
    <w:abstractNumId w:val="4"/>
  </w:num>
  <w:num w:numId="9" w16cid:durableId="1513489557">
    <w:abstractNumId w:val="8"/>
  </w:num>
  <w:num w:numId="10" w16cid:durableId="1740976247">
    <w:abstractNumId w:val="3"/>
  </w:num>
  <w:num w:numId="11" w16cid:durableId="166599859">
    <w:abstractNumId w:val="2"/>
  </w:num>
  <w:num w:numId="12" w16cid:durableId="1793866356">
    <w:abstractNumId w:val="1"/>
  </w:num>
  <w:num w:numId="13" w16cid:durableId="1931935833">
    <w:abstractNumId w:val="0"/>
  </w:num>
  <w:num w:numId="14" w16cid:durableId="912394944">
    <w:abstractNumId w:val="14"/>
  </w:num>
  <w:num w:numId="15" w16cid:durableId="1328442462">
    <w:abstractNumId w:val="13"/>
  </w:num>
  <w:num w:numId="16" w16cid:durableId="1279722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569"/>
    <w:rsid w:val="00092484"/>
    <w:rsid w:val="000B044F"/>
    <w:rsid w:val="001175BB"/>
    <w:rsid w:val="00152569"/>
    <w:rsid w:val="00154CF5"/>
    <w:rsid w:val="0019245A"/>
    <w:rsid w:val="0021792A"/>
    <w:rsid w:val="002F61E8"/>
    <w:rsid w:val="00385C32"/>
    <w:rsid w:val="00391CC7"/>
    <w:rsid w:val="00395023"/>
    <w:rsid w:val="003C382E"/>
    <w:rsid w:val="0046417F"/>
    <w:rsid w:val="00491571"/>
    <w:rsid w:val="004A1738"/>
    <w:rsid w:val="004A6629"/>
    <w:rsid w:val="004D00C9"/>
    <w:rsid w:val="00540DEB"/>
    <w:rsid w:val="00547C41"/>
    <w:rsid w:val="005751E0"/>
    <w:rsid w:val="005959A2"/>
    <w:rsid w:val="005B54D3"/>
    <w:rsid w:val="0061627F"/>
    <w:rsid w:val="00624A3B"/>
    <w:rsid w:val="007533FE"/>
    <w:rsid w:val="00754F5B"/>
    <w:rsid w:val="007B11ED"/>
    <w:rsid w:val="008164A7"/>
    <w:rsid w:val="0083392B"/>
    <w:rsid w:val="008F2E40"/>
    <w:rsid w:val="008F7742"/>
    <w:rsid w:val="009D59F4"/>
    <w:rsid w:val="00A251A1"/>
    <w:rsid w:val="00A319F6"/>
    <w:rsid w:val="00AB7D57"/>
    <w:rsid w:val="00AD7E9A"/>
    <w:rsid w:val="00B251F3"/>
    <w:rsid w:val="00B445DF"/>
    <w:rsid w:val="00B5482C"/>
    <w:rsid w:val="00B72C79"/>
    <w:rsid w:val="00C978D4"/>
    <w:rsid w:val="00CE2036"/>
    <w:rsid w:val="00D44B8B"/>
    <w:rsid w:val="00D551B8"/>
    <w:rsid w:val="00D6612A"/>
    <w:rsid w:val="00D903C5"/>
    <w:rsid w:val="00DC337A"/>
    <w:rsid w:val="00E411D1"/>
    <w:rsid w:val="00E428E7"/>
    <w:rsid w:val="00E955B7"/>
    <w:rsid w:val="00E9672C"/>
    <w:rsid w:val="00ED7172"/>
    <w:rsid w:val="00F14387"/>
    <w:rsid w:val="00F85FB5"/>
    <w:rsid w:val="00FE0480"/>
    <w:rsid w:val="00FF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780FB3"/>
  <w15:chartTrackingRefBased/>
  <w15:docId w15:val="{114AE157-485E-447B-B607-4F5875E2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4A7"/>
    <w:pPr>
      <w:spacing w:before="120" w:line="280" w:lineRule="atLeast"/>
    </w:pPr>
    <w:rPr>
      <w:rFonts w:ascii="Georgia" w:hAnsi="Georgia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8164A7"/>
    <w:pPr>
      <w:keepNext/>
      <w:numPr>
        <w:numId w:val="14"/>
      </w:numPr>
      <w:tabs>
        <w:tab w:val="left" w:pos="567"/>
      </w:tabs>
      <w:spacing w:after="20" w:line="240" w:lineRule="auto"/>
      <w:outlineLvl w:val="0"/>
    </w:pPr>
    <w:rPr>
      <w:rFonts w:ascii="Arial" w:hAnsi="Arial"/>
      <w:b/>
      <w:kern w:val="28"/>
      <w:sz w:val="32"/>
    </w:rPr>
  </w:style>
  <w:style w:type="paragraph" w:styleId="berschrift2">
    <w:name w:val="heading 2"/>
    <w:basedOn w:val="Standard"/>
    <w:next w:val="Standard"/>
    <w:qFormat/>
    <w:rsid w:val="008164A7"/>
    <w:pPr>
      <w:keepNext/>
      <w:numPr>
        <w:ilvl w:val="1"/>
        <w:numId w:val="14"/>
      </w:numPr>
      <w:spacing w:before="40" w:after="20" w:line="240" w:lineRule="auto"/>
      <w:outlineLvl w:val="1"/>
    </w:pPr>
    <w:rPr>
      <w:rFonts w:ascii="Arial" w:hAnsi="Arial"/>
      <w:b/>
      <w:sz w:val="28"/>
    </w:rPr>
  </w:style>
  <w:style w:type="paragraph" w:styleId="berschrift3">
    <w:name w:val="heading 3"/>
    <w:basedOn w:val="Standard"/>
    <w:next w:val="Standard"/>
    <w:qFormat/>
    <w:rsid w:val="008164A7"/>
    <w:pPr>
      <w:keepNext/>
      <w:numPr>
        <w:ilvl w:val="2"/>
        <w:numId w:val="14"/>
      </w:numPr>
      <w:tabs>
        <w:tab w:val="left" w:pos="851"/>
      </w:tabs>
      <w:spacing w:before="80" w:line="240" w:lineRule="auto"/>
      <w:outlineLvl w:val="2"/>
    </w:pPr>
    <w:rPr>
      <w:rFonts w:ascii="Arial" w:hAnsi="Arial"/>
      <w:sz w:val="26"/>
    </w:rPr>
  </w:style>
  <w:style w:type="paragraph" w:styleId="berschrift4">
    <w:name w:val="heading 4"/>
    <w:basedOn w:val="Standard"/>
    <w:next w:val="Standard"/>
    <w:qFormat/>
    <w:rsid w:val="008164A7"/>
    <w:pPr>
      <w:keepNext/>
      <w:numPr>
        <w:ilvl w:val="3"/>
        <w:numId w:val="14"/>
      </w:numPr>
      <w:spacing w:before="40"/>
      <w:outlineLvl w:val="3"/>
    </w:pPr>
    <w:rPr>
      <w:rFonts w:ascii="Times New Roman" w:hAnsi="Times New Roman"/>
    </w:rPr>
  </w:style>
  <w:style w:type="paragraph" w:styleId="berschrift5">
    <w:name w:val="heading 5"/>
    <w:basedOn w:val="Standard"/>
    <w:next w:val="Standard"/>
    <w:qFormat/>
    <w:rsid w:val="008164A7"/>
    <w:pPr>
      <w:numPr>
        <w:ilvl w:val="4"/>
        <w:numId w:val="14"/>
      </w:numPr>
      <w:spacing w:before="40"/>
      <w:outlineLvl w:val="4"/>
    </w:pPr>
    <w:rPr>
      <w:rFonts w:ascii="Arial" w:hAnsi="Arial"/>
    </w:rPr>
  </w:style>
  <w:style w:type="paragraph" w:styleId="berschrift6">
    <w:name w:val="heading 6"/>
    <w:basedOn w:val="Standard"/>
    <w:next w:val="Standard"/>
    <w:qFormat/>
    <w:rsid w:val="008164A7"/>
    <w:pPr>
      <w:numPr>
        <w:ilvl w:val="5"/>
        <w:numId w:val="14"/>
      </w:numPr>
      <w:spacing w:before="240"/>
      <w:outlineLvl w:val="5"/>
    </w:pPr>
    <w:rPr>
      <w:rFonts w:ascii="Arial" w:hAnsi="Arial"/>
      <w:i/>
    </w:rPr>
  </w:style>
  <w:style w:type="paragraph" w:styleId="berschrift7">
    <w:name w:val="heading 7"/>
    <w:basedOn w:val="Standard"/>
    <w:next w:val="Standard"/>
    <w:qFormat/>
    <w:rsid w:val="008164A7"/>
    <w:pPr>
      <w:numPr>
        <w:ilvl w:val="6"/>
        <w:numId w:val="14"/>
      </w:numPr>
      <w:spacing w:before="240"/>
      <w:outlineLvl w:val="6"/>
    </w:pPr>
    <w:rPr>
      <w:rFonts w:ascii="Arial" w:hAnsi="Arial"/>
    </w:rPr>
  </w:style>
  <w:style w:type="paragraph" w:styleId="berschrift8">
    <w:name w:val="heading 8"/>
    <w:basedOn w:val="Standard"/>
    <w:next w:val="Standard"/>
    <w:qFormat/>
    <w:rsid w:val="008164A7"/>
    <w:pPr>
      <w:numPr>
        <w:ilvl w:val="7"/>
        <w:numId w:val="14"/>
      </w:numPr>
      <w:spacing w:before="240"/>
      <w:outlineLvl w:val="7"/>
    </w:pPr>
    <w:rPr>
      <w:rFonts w:ascii="Arial" w:hAnsi="Arial"/>
      <w:i/>
    </w:rPr>
  </w:style>
  <w:style w:type="paragraph" w:styleId="berschrift9">
    <w:name w:val="heading 9"/>
    <w:basedOn w:val="Standard"/>
    <w:next w:val="Standard"/>
    <w:qFormat/>
    <w:rsid w:val="008164A7"/>
    <w:pPr>
      <w:numPr>
        <w:ilvl w:val="8"/>
        <w:numId w:val="14"/>
      </w:numPr>
      <w:spacing w:before="240"/>
      <w:outlineLvl w:val="8"/>
    </w:pPr>
    <w:rPr>
      <w:rFonts w:ascii="Arial" w:hAnsi="Arial"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pPr>
      <w:spacing w:before="60" w:line="240" w:lineRule="auto"/>
    </w:pPr>
    <w:rPr>
      <w:sz w:val="20"/>
    </w:rPr>
  </w:style>
  <w:style w:type="paragraph" w:styleId="Beschriftung">
    <w:name w:val="caption"/>
    <w:basedOn w:val="Standard"/>
    <w:next w:val="Standard"/>
    <w:qFormat/>
    <w:rsid w:val="00E411D1"/>
    <w:pPr>
      <w:framePr w:w="5761" w:h="5222" w:hRule="exact" w:hSpace="181" w:wrap="around" w:vAnchor="page" w:hAnchor="page" w:x="5377" w:y="1058" w:anchorLock="1"/>
      <w:spacing w:line="240" w:lineRule="auto"/>
    </w:pPr>
    <w:rPr>
      <w:rFonts w:ascii="Tahoma" w:hAnsi="Tahoma" w:cs="Tahoma"/>
      <w:sz w:val="52"/>
      <w:szCs w:val="24"/>
    </w:rPr>
  </w:style>
  <w:style w:type="paragraph" w:styleId="Textkrper">
    <w:name w:val="Body Text"/>
    <w:basedOn w:val="Standard"/>
    <w:link w:val="TextkrperZchn"/>
    <w:pPr>
      <w:jc w:val="both"/>
    </w:pPr>
    <w:rPr>
      <w:rFonts w:ascii="Times New Roman" w:hAnsi="Times New Roman"/>
    </w:rPr>
  </w:style>
  <w:style w:type="paragraph" w:customStyle="1" w:styleId="Pfadangabe">
    <w:name w:val="Pfadangabe"/>
    <w:basedOn w:val="Standard"/>
    <w:rsid w:val="00754F5B"/>
    <w:pPr>
      <w:spacing w:before="240" w:after="240" w:line="240" w:lineRule="auto"/>
    </w:pPr>
    <w:rPr>
      <w:sz w:val="16"/>
    </w:rPr>
  </w:style>
  <w:style w:type="paragraph" w:customStyle="1" w:styleId="Kasten2">
    <w:name w:val="Kasten_2"/>
    <w:basedOn w:val="Standard"/>
    <w:pPr>
      <w:spacing w:before="240" w:line="240" w:lineRule="auto"/>
      <w:jc w:val="center"/>
    </w:pPr>
    <w:rPr>
      <w:rFonts w:ascii="Arial" w:hAnsi="Arial"/>
      <w:b/>
      <w:sz w:val="24"/>
    </w:rPr>
  </w:style>
  <w:style w:type="paragraph" w:customStyle="1" w:styleId="IQ-Kopf">
    <w:name w:val="IQ-Kopf"/>
    <w:basedOn w:val="Standard"/>
    <w:next w:val="Standard"/>
    <w:pPr>
      <w:jc w:val="center"/>
    </w:pPr>
    <w:rPr>
      <w:rFonts w:ascii="AvantGarde Bk BT" w:hAnsi="AvantGarde Bk BT"/>
      <w:sz w:val="24"/>
    </w:rPr>
  </w:style>
  <w:style w:type="paragraph" w:customStyle="1" w:styleId="Kasten1">
    <w:name w:val="Kasten_1"/>
    <w:basedOn w:val="Standard"/>
    <w:autoRedefine/>
    <w:qFormat/>
    <w:rsid w:val="005751E0"/>
    <w:pPr>
      <w:spacing w:after="120" w:line="240" w:lineRule="auto"/>
      <w:jc w:val="center"/>
    </w:pPr>
    <w:rPr>
      <w:rFonts w:ascii="AvantGarde Bk BT" w:hAnsi="AvantGarde Bk BT"/>
      <w:b/>
      <w:sz w:val="32"/>
    </w:rPr>
  </w:style>
  <w:style w:type="paragraph" w:customStyle="1" w:styleId="Kastenunterschrift">
    <w:name w:val="Kastenunterschrift"/>
    <w:basedOn w:val="Standard"/>
    <w:next w:val="Standard"/>
    <w:pPr>
      <w:spacing w:after="40" w:line="240" w:lineRule="auto"/>
    </w:pPr>
    <w:rPr>
      <w:rFonts w:ascii="Arial" w:hAnsi="Arial"/>
      <w:sz w:val="24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line="240" w:lineRule="auto"/>
      <w:jc w:val="center"/>
    </w:pPr>
    <w:rPr>
      <w:rFonts w:ascii="AvantGarde Bk BT" w:hAnsi="AvantGarde Bk BT"/>
      <w:sz w:val="20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jc w:val="center"/>
    </w:pPr>
    <w:rPr>
      <w:rFonts w:ascii="AvantGarde Bk BT" w:hAnsi="AvantGarde Bk BT"/>
      <w:sz w:val="20"/>
    </w:rPr>
  </w:style>
  <w:style w:type="paragraph" w:customStyle="1" w:styleId="Definition">
    <w:name w:val="Definition"/>
    <w:basedOn w:val="Standard"/>
    <w:next w:val="Textkrper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before="40" w:line="240" w:lineRule="auto"/>
    </w:pPr>
    <w:rPr>
      <w:rFonts w:ascii="Arial" w:hAnsi="Arial"/>
      <w:i/>
    </w:rPr>
  </w:style>
  <w:style w:type="paragraph" w:customStyle="1" w:styleId="Anlage">
    <w:name w:val="Anlage"/>
    <w:basedOn w:val="berschrift3"/>
    <w:pPr>
      <w:numPr>
        <w:ilvl w:val="0"/>
        <w:numId w:val="0"/>
      </w:numPr>
    </w:pPr>
    <w:rPr>
      <w:rFonts w:ascii="Times New Roman" w:hAnsi="Times New Roman"/>
      <w:sz w:val="24"/>
    </w:rPr>
  </w:style>
  <w:style w:type="paragraph" w:customStyle="1" w:styleId="Version">
    <w:name w:val="Version"/>
    <w:basedOn w:val="Kasten2"/>
    <w:pPr>
      <w:spacing w:before="120" w:after="240"/>
    </w:pPr>
    <w:rPr>
      <w:b w:val="0"/>
      <w:sz w:val="20"/>
    </w:rPr>
  </w:style>
  <w:style w:type="paragraph" w:customStyle="1" w:styleId="Freigabevermerk">
    <w:name w:val="Freigabevermerk"/>
    <w:basedOn w:val="Standard"/>
    <w:rsid w:val="00754F5B"/>
    <w:pPr>
      <w:pBdr>
        <w:top w:val="single" w:sz="6" w:space="1" w:color="auto"/>
      </w:pBdr>
      <w:spacing w:line="240" w:lineRule="auto"/>
      <w:ind w:right="-1"/>
    </w:pPr>
    <w:rPr>
      <w:rFonts w:ascii="Arial" w:hAnsi="Arial"/>
      <w:sz w:val="16"/>
    </w:rPr>
  </w:style>
  <w:style w:type="numbering" w:customStyle="1" w:styleId="FormatvorlageAufgezhltSymbolSymbol12ptLinks063cmHngend">
    <w:name w:val="Formatvorlage Aufgezählt Symbol (Symbol) 12 pt Links:  063 cm Hängend:..."/>
    <w:basedOn w:val="KeineListe"/>
    <w:rsid w:val="008164A7"/>
    <w:pPr>
      <w:numPr>
        <w:numId w:val="15"/>
      </w:numPr>
    </w:pPr>
  </w:style>
  <w:style w:type="character" w:customStyle="1" w:styleId="TextkrperZchn">
    <w:name w:val="Textkörper Zchn"/>
    <w:link w:val="Textkrper"/>
    <w:rsid w:val="00A251A1"/>
    <w:rPr>
      <w:sz w:val="22"/>
      <w:szCs w:val="22"/>
    </w:rPr>
  </w:style>
  <w:style w:type="paragraph" w:customStyle="1" w:styleId="Linie">
    <w:name w:val="Linie"/>
    <w:basedOn w:val="Standard"/>
    <w:qFormat/>
    <w:rsid w:val="00AD7E9A"/>
    <w:pPr>
      <w:spacing w:before="0" w:line="240" w:lineRule="auto"/>
    </w:pPr>
    <w:rPr>
      <w:sz w:val="16"/>
    </w:rPr>
  </w:style>
  <w:style w:type="paragraph" w:styleId="Listenabsatz">
    <w:name w:val="List Paragraph"/>
    <w:basedOn w:val="Standard"/>
    <w:uiPriority w:val="34"/>
    <w:qFormat/>
    <w:rsid w:val="004A662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627F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627F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Formblatt für SOPs</vt:lpstr>
    </vt:vector>
  </TitlesOfParts>
  <Company>IQ Institut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Formblatt für SOPs</dc:title>
  <dc:subject/>
  <dc:creator>UPaschen</dc:creator>
  <cp:keywords/>
  <cp:lastModifiedBy>Ulrich Paschen</cp:lastModifiedBy>
  <cp:revision>3</cp:revision>
  <cp:lastPrinted>2026-06-08T07:46:00Z</cp:lastPrinted>
  <dcterms:created xsi:type="dcterms:W3CDTF">2025-04-26T17:29:00Z</dcterms:created>
  <dcterms:modified xsi:type="dcterms:W3CDTF">2026-06-08T07:53:00Z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c26eeb026cd78ea59c3fae99d326e4f485f2e1a860e82133333deaf33d8479c1</vt:lpwstr>
  </property>
</Properties>
</file>